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harts/_rels/chart6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5.xml.rels" ContentType="application/vnd.openxmlformats-package.relationships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chart1.xml" ContentType="application/vnd.openxmlformats-officedocument.drawingml.chart+xml"/>
  <Override PartName="/word/charts/chart5.xml" ContentType="application/vnd.openxmlformats-officedocument.drawingml.chart+xml"/>
  <Override PartName="/word/charts/chart2.xml" ContentType="application/vnd.openxmlformats-officedocument.drawingml.chart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ind w:left="0" w:right="0" w:hanging="0"/>
        <w:jc w:val="center"/>
        <w:rPr/>
      </w:pPr>
      <w:r>
        <w:rPr>
          <w:b/>
          <w:bCs/>
          <w:iCs/>
          <w:sz w:val="28"/>
          <w:szCs w:val="30"/>
        </w:rPr>
        <w:t xml:space="preserve">Исполнение федерального государственного надзора в области </w:t>
      </w:r>
      <w:r>
        <w:rPr>
          <w:b/>
          <w:bCs/>
          <w:sz w:val="28"/>
          <w:szCs w:val="28"/>
        </w:rPr>
        <w:t>защиты населения и территорий от чрезвычайных ситуаций</w:t>
      </w:r>
    </w:p>
    <w:p>
      <w:pPr>
        <w:pStyle w:val="Style19"/>
        <w:spacing w:before="0" w:after="0"/>
        <w:ind w:left="0" w:right="0" w:firstLine="426"/>
        <w:jc w:val="center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 xml:space="preserve">На территории Челябинской области взято на учёт </w:t>
      </w:r>
      <w:r>
        <w:rPr>
          <w:b/>
          <w:color w:val="000000"/>
          <w:sz w:val="28"/>
          <w:szCs w:val="28"/>
        </w:rPr>
        <w:t>256</w:t>
      </w:r>
      <w:r>
        <w:rPr>
          <w:color w:val="000000"/>
          <w:sz w:val="28"/>
          <w:szCs w:val="28"/>
        </w:rPr>
        <w:t xml:space="preserve"> объектов, подлежащих федеральному государственному надзору в области защиты населения и территорий от чрезвычайных ситуаций, из них: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– территориальных органов федеральных органов исполнительной власти, входящих в состав функциональных подсистем единой государственной системы предупреждения и ликвидации чрезвычайных ситуаций;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– органов исполнительной власти Челябинской области;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219</w:t>
      </w:r>
      <w:r>
        <w:rPr>
          <w:color w:val="000000"/>
          <w:sz w:val="28"/>
          <w:szCs w:val="28"/>
        </w:rPr>
        <w:t xml:space="preserve"> – организаций, отнесённые к категории высокого, значительного и среднего риска, из них: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– входящих в установленном порядке в состав сил функциональных подсистем единой государственной системы предупреждения и ликвидации чрезвычайных ситуаций;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166</w:t>
      </w:r>
      <w:r>
        <w:rPr>
          <w:color w:val="000000"/>
          <w:sz w:val="28"/>
          <w:szCs w:val="28"/>
        </w:rPr>
        <w:t xml:space="preserve"> – эксплуатирующие потенциально опасные объекты;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– эксплуатирующие критически важные объекты.</w:t>
      </w:r>
    </w:p>
    <w:p>
      <w:pPr>
        <w:pStyle w:val="Normal"/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требований Постановления Правительства № 1013 от</w:t>
        <w:br/>
        <w:t>25 июня 2021 года объекты федерального государственного надзора в области защиты населения и территорий от чрезвычайных ситуаций отнесены к соответствующим категориям риска, из них: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 xml:space="preserve"> юридических лица, эксплуатирующих потенциально опасные объекты 1 и 2 категории опасности, эксплуатирующих критически важные объекты федерального уровня значимости, деятельность государственных корпораций, создающих в установленном порядке функциональные подсистемы единой государственной системы предупреждения и ликвидации чрезвычайных ситуаций отнесены к категории высокого риска;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юридических лиц, эксплуатирующих потенциально опасные объекты 3 и 4 категории опасности, эксплуатирующих критически важные объекты регионального уровня значимости, организации, если эти организации (их структурные подразделения) или находящиеся в их ведении организации и структурные подразделения этих организаций включены (входят) в   установленном порядке в состав сил органов функциональных подсистем единой государственной системы предупреждения и ликвидации чрезвычайных ситуаций, отнесены к категории значительного риска;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147</w:t>
      </w:r>
      <w:r>
        <w:rPr>
          <w:color w:val="000000"/>
          <w:sz w:val="28"/>
          <w:szCs w:val="28"/>
        </w:rPr>
        <w:t xml:space="preserve"> юридических лица, эксплуатирующих потенциально опасные объекты 5 и 6 категории опасности и эксплуатирующих критически важные объекты муниципального уровня значимости.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</w:rPr>
        <w:t xml:space="preserve">В среднем по области на 1 инспектора приходится </w:t>
      </w:r>
      <w:r>
        <w:rPr>
          <w:b/>
          <w:sz w:val="28"/>
        </w:rPr>
        <w:t>1,0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4</w:t>
      </w:r>
      <w:r>
        <w:rPr>
          <w:color w:val="000000"/>
          <w:sz w:val="28"/>
        </w:rPr>
        <w:t xml:space="preserve"> объекта надзора в области защиты населения и территорий от чрезвычайных ситуаций. </w:t>
      </w:r>
    </w:p>
    <w:p>
      <w:pPr>
        <w:pStyle w:val="Normal"/>
        <w:tabs>
          <w:tab w:val="clear" w:pos="709"/>
          <w:tab w:val="left" w:pos="4395" w:leader="none"/>
        </w:tabs>
        <w:jc w:val="center"/>
        <w:rPr/>
      </w:pPr>
      <w:r>
        <w:rPr/>
        <w:drawing>
          <wp:inline distT="0" distB="0" distL="0" distR="0">
            <wp:extent cx="5058410" cy="181737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widowControl/>
        <w:tabs>
          <w:tab w:val="clear" w:pos="709"/>
          <w:tab w:val="left" w:pos="4395" w:leader="none"/>
        </w:tabs>
        <w:suppressAutoHyphens w:val="true"/>
        <w:bidi w:val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по проведению надзоров (контроля) в области ЧС осуществляется в установленном порядке с учётом полного охвата всех контролируемых объектов и установленной законодательством Российской Федерации периодичности проведения проверок.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План проведения плановых проверок на 2021 год в области ЧС содержит</w:t>
      </w:r>
      <w:r>
        <w:rPr>
          <w:color w:val="C9211E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проверок.</w:t>
      </w:r>
    </w:p>
    <w:p>
      <w:pPr>
        <w:pStyle w:val="Normal"/>
        <w:ind w:left="0" w:right="0" w:firstLine="567"/>
        <w:jc w:val="both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621655" cy="199072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  <w:r>
        <w:rPr>
          <w:highlight w:val="yellow"/>
        </w:rPr>
        <w:t xml:space="preserve">      </w:t>
      </w:r>
    </w:p>
    <w:p>
      <w:pPr>
        <w:pStyle w:val="Normal"/>
        <w:jc w:val="both"/>
        <w:rPr/>
      </w:pPr>
      <w:r>
        <w:rPr>
          <w:color w:val="000000"/>
          <w:sz w:val="28"/>
        </w:rPr>
        <w:t xml:space="preserve">   </w:t>
      </w:r>
    </w:p>
    <w:p>
      <w:pPr>
        <w:pStyle w:val="Normal"/>
        <w:jc w:val="both"/>
        <w:rPr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состоянию на 3</w:t>
      </w: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1</w:t>
      </w:r>
      <w:r>
        <w:rPr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  <w:szCs w:val="24"/>
          <w:lang w:val="ru-RU" w:eastAsia="zh-CN" w:bidi="ar-SA"/>
        </w:rPr>
        <w:t>дека</w:t>
      </w:r>
      <w:r>
        <w:rPr>
          <w:color w:val="000000"/>
          <w:sz w:val="28"/>
        </w:rPr>
        <w:t xml:space="preserve">бря 2021 года проведено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40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провер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ок</w:t>
      </w:r>
      <w:r>
        <w:rPr>
          <w:color w:val="000000"/>
          <w:sz w:val="28"/>
        </w:rPr>
        <w:t xml:space="preserve">, из них: 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</w:rPr>
        <w:t>2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5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 xml:space="preserve">плановых (запланировано </w:t>
      </w:r>
      <w:r>
        <w:rPr>
          <w:b/>
          <w:bCs/>
          <w:color w:val="000000"/>
          <w:sz w:val="28"/>
        </w:rPr>
        <w:t>2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5</w:t>
      </w:r>
      <w:r>
        <w:rPr>
          <w:b/>
          <w:bCs/>
          <w:sz w:val="28"/>
        </w:rPr>
        <w:t>)</w:t>
      </w:r>
      <w:r>
        <w:rPr>
          <w:color w:val="000000"/>
          <w:sz w:val="28"/>
        </w:rPr>
        <w:t>,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что составляет </w:t>
      </w:r>
      <w:r>
        <w:rPr>
          <w:sz w:val="28"/>
        </w:rPr>
        <w:t>100%</w:t>
      </w:r>
      <w:r>
        <w:rPr>
          <w:color w:val="000000"/>
          <w:sz w:val="28"/>
        </w:rPr>
        <w:t xml:space="preserve"> от общего числа запланированных;</w:t>
      </w:r>
    </w:p>
    <w:p>
      <w:pPr>
        <w:pStyle w:val="Normal"/>
        <w:ind w:left="0" w:right="0" w:firstLine="567"/>
        <w:jc w:val="both"/>
        <w:rPr/>
      </w:pPr>
      <w:r>
        <w:rPr>
          <w:b/>
          <w:color w:val="000000"/>
          <w:sz w:val="28"/>
        </w:rPr>
        <w:t>1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5</w:t>
      </w:r>
      <w:r>
        <w:rPr>
          <w:sz w:val="28"/>
        </w:rPr>
        <w:t xml:space="preserve"> </w:t>
      </w:r>
      <w:r>
        <w:rPr>
          <w:b/>
          <w:bCs/>
          <w:sz w:val="28"/>
        </w:rPr>
        <w:t>внеплановых</w:t>
      </w:r>
      <w:r>
        <w:rPr>
          <w:color w:val="000000"/>
          <w:sz w:val="28"/>
        </w:rPr>
        <w:t xml:space="preserve">. </w:t>
      </w:r>
    </w:p>
    <w:p>
      <w:pPr>
        <w:pStyle w:val="BodyText3"/>
        <w:tabs>
          <w:tab w:val="clear" w:pos="709"/>
          <w:tab w:val="left" w:pos="4678" w:leader="none"/>
        </w:tabs>
        <w:ind w:left="0" w:right="-8" w:hanging="0"/>
        <w:jc w:val="center"/>
        <w:rPr/>
      </w:pPr>
      <w:r>
        <w:rPr/>
        <w:drawing>
          <wp:inline distT="0" distB="0" distL="0" distR="0">
            <wp:extent cx="6164580" cy="2466340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BodyText3"/>
        <w:tabs>
          <w:tab w:val="clear" w:pos="709"/>
          <w:tab w:val="left" w:pos="4678" w:leader="none"/>
        </w:tabs>
        <w:ind w:left="0" w:right="0" w:firstLine="567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BodyText3"/>
        <w:ind w:left="0" w:right="0" w:firstLine="567"/>
        <w:rPr/>
      </w:pPr>
      <w:r>
        <w:rPr>
          <w:color w:val="000000"/>
        </w:rPr>
        <w:t xml:space="preserve">По результатам проверок выдано 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12</w:t>
      </w:r>
      <w:r>
        <w:rPr>
          <w:b/>
          <w:bCs/>
          <w:color w:val="000000"/>
        </w:rPr>
        <w:t xml:space="preserve"> предписаний</w:t>
      </w:r>
      <w:r>
        <w:rPr>
          <w:color w:val="000000"/>
        </w:rPr>
        <w:t>.</w:t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rPr>
          <w:highlight w:val="yellow"/>
        </w:rPr>
      </w:pPr>
      <w:r>
        <w:rPr>
          <w:highlight w:val="yellow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736600</wp:posOffset>
            </wp:positionH>
            <wp:positionV relativeFrom="paragraph">
              <wp:posOffset>52070</wp:posOffset>
            </wp:positionV>
            <wp:extent cx="5119370" cy="2021205"/>
            <wp:effectExtent l="0" t="0" r="0" b="0"/>
            <wp:wrapSquare wrapText="largest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>
          <w:highlight w:val="yellow"/>
        </w:rPr>
      </w:pPr>
      <w:r>
        <w:rPr>
          <w:highlight w:val="yellow"/>
        </w:rPr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BodyText3"/>
        <w:tabs>
          <w:tab w:val="clear" w:pos="709"/>
          <w:tab w:val="left" w:pos="117" w:leader="none"/>
          <w:tab w:val="left" w:pos="4678" w:leader="none"/>
        </w:tabs>
        <w:ind w:left="0" w:right="0" w:firstLine="567"/>
        <w:rPr/>
      </w:pPr>
      <w:r>
        <w:rPr/>
      </w:r>
    </w:p>
    <w:p>
      <w:pPr>
        <w:pStyle w:val="Normal"/>
        <w:widowControl/>
        <w:tabs>
          <w:tab w:val="clear" w:pos="709"/>
          <w:tab w:val="left" w:pos="4536" w:leader="none"/>
        </w:tabs>
        <w:suppressAutoHyphens w:val="true"/>
        <w:bidi w:val="0"/>
        <w:ind w:left="0" w:right="0" w:firstLine="567"/>
        <w:jc w:val="both"/>
        <w:rPr/>
      </w:pPr>
      <w:r>
        <w:rPr>
          <w:sz w:val="28"/>
        </w:rPr>
        <w:t xml:space="preserve">Доля проверок, при которых выявлены нарушения обязательных требований в области ЧС по итогам 2021 года составляет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>30</w:t>
      </w:r>
      <w:r>
        <w:rPr>
          <w:b/>
          <w:color w:val="000000"/>
          <w:sz w:val="28"/>
        </w:rPr>
        <w:t xml:space="preserve"> </w:t>
      </w:r>
      <w:r>
        <w:rPr>
          <w:sz w:val="28"/>
        </w:rPr>
        <w:t>%.</w:t>
      </w:r>
    </w:p>
    <w:p>
      <w:pPr>
        <w:pStyle w:val="BodyText3"/>
        <w:ind w:left="0" w:right="-8" w:hanging="0"/>
        <w:jc w:val="center"/>
        <w:rPr/>
      </w:pPr>
      <w:r>
        <w:rPr/>
        <w:drawing>
          <wp:inline distT="0" distB="0" distL="0" distR="0">
            <wp:extent cx="5293995" cy="1960245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BodyText3"/>
        <w:widowControl/>
        <w:suppressAutoHyphens w:val="true"/>
        <w:bidi w:val="0"/>
        <w:ind w:left="0" w:right="0" w:firstLine="567"/>
        <w:jc w:val="both"/>
        <w:rPr>
          <w:color w:val="000000"/>
          <w:szCs w:val="28"/>
        </w:rPr>
      </w:pPr>
      <w:r>
        <w:rPr/>
      </w:r>
    </w:p>
    <w:p>
      <w:pPr>
        <w:pStyle w:val="BodyText3"/>
        <w:widowControl/>
        <w:suppressAutoHyphens w:val="true"/>
        <w:bidi w:val="0"/>
        <w:ind w:left="0" w:right="0" w:firstLine="567"/>
        <w:jc w:val="both"/>
        <w:rPr/>
      </w:pPr>
      <w:r>
        <w:rPr>
          <w:color w:val="000000"/>
          <w:szCs w:val="28"/>
        </w:rPr>
        <w:t xml:space="preserve">За выявленные нарушения в области защиты населения и территорий от ЧС составлено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12</w:t>
      </w:r>
      <w:r>
        <w:rPr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протоколов об административных правонарушениях </w:t>
      </w:r>
      <w:r>
        <w:rPr>
          <w:rFonts w:eastAsia="Tahoma" w:cs="Noto Sans Devanagari"/>
          <w:color w:val="000000"/>
          <w:kern w:val="2"/>
          <w:sz w:val="28"/>
          <w:szCs w:val="28"/>
          <w:lang w:val="ru-RU" w:eastAsia="zh-CN" w:bidi="hi-IN"/>
        </w:rPr>
        <w:t xml:space="preserve">из них: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2</w:t>
      </w:r>
      <w:r>
        <w:rPr>
          <w:b/>
          <w:bCs/>
          <w:color w:val="000000"/>
          <w:szCs w:val="28"/>
        </w:rPr>
        <w:t xml:space="preserve"> протокол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ar-SA"/>
        </w:rPr>
        <w:t>а</w:t>
      </w:r>
      <w:r>
        <w:rPr>
          <w:color w:val="000000"/>
          <w:szCs w:val="28"/>
        </w:rPr>
        <w:t xml:space="preserve"> на должностных лиц,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10</w:t>
      </w:r>
      <w:r>
        <w:rPr>
          <w:b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протоколов</w:t>
      </w:r>
      <w:r>
        <w:rPr>
          <w:color w:val="000000"/>
          <w:szCs w:val="28"/>
        </w:rPr>
        <w:t xml:space="preserve"> на юридических лиц</w:t>
      </w:r>
      <w:r>
        <w:rPr>
          <w:color w:val="000000"/>
        </w:rPr>
        <w:t>.</w:t>
      </w:r>
    </w:p>
    <w:p>
      <w:pPr>
        <w:pStyle w:val="BodyText3"/>
        <w:widowControl/>
        <w:suppressAutoHyphens w:val="true"/>
        <w:bidi w:val="0"/>
        <w:ind w:left="0" w:right="0" w:firstLine="567"/>
        <w:jc w:val="both"/>
        <w:rPr>
          <w:color w:val="000000"/>
        </w:rPr>
      </w:pPr>
      <w:r>
        <w:rPr/>
      </w:r>
    </w:p>
    <w:p>
      <w:pPr>
        <w:pStyle w:val="BodyText3"/>
        <w:ind w:left="0" w:right="-8" w:hanging="0"/>
        <w:jc w:val="center"/>
        <w:rPr/>
      </w:pPr>
      <w:r>
        <w:rPr/>
        <w:drawing>
          <wp:inline distT="0" distB="0" distL="0" distR="0">
            <wp:extent cx="5496560" cy="2141855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BodyText3"/>
        <w:ind w:left="0" w:right="0" w:firstLine="624"/>
        <w:rPr>
          <w:color w:val="000000"/>
        </w:rPr>
      </w:pPr>
      <w:r>
        <w:rPr/>
      </w:r>
    </w:p>
    <w:p>
      <w:pPr>
        <w:pStyle w:val="BodyText3"/>
        <w:ind w:left="0" w:right="0" w:firstLine="567"/>
        <w:rPr/>
      </w:pPr>
      <w:r>
        <w:rPr>
          <w:color w:val="000000"/>
        </w:rPr>
        <w:t xml:space="preserve">По результатам рассмотрения принято 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8</w:t>
      </w:r>
      <w:r>
        <w:rPr>
          <w:b/>
          <w:bCs/>
          <w:color w:val="000000"/>
        </w:rPr>
        <w:t xml:space="preserve"> решений</w:t>
      </w:r>
      <w:r>
        <w:rPr>
          <w:color w:val="000000"/>
        </w:rPr>
        <w:t>:</w:t>
      </w:r>
    </w:p>
    <w:p>
      <w:pPr>
        <w:pStyle w:val="BodyText3"/>
        <w:ind w:left="0" w:right="0" w:firstLine="567"/>
        <w:rPr/>
      </w:pP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7</w:t>
      </w:r>
      <w:r>
        <w:rPr>
          <w:b/>
          <w:bCs/>
          <w:color w:val="000000"/>
        </w:rPr>
        <w:t xml:space="preserve"> решений</w:t>
      </w:r>
      <w:r>
        <w:rPr>
          <w:color w:val="000000"/>
        </w:rPr>
        <w:t xml:space="preserve"> – о наказании в виде административного штрафа;</w:t>
      </w:r>
    </w:p>
    <w:p>
      <w:pPr>
        <w:pStyle w:val="BodyText3"/>
        <w:ind w:left="0" w:right="0" w:firstLine="567"/>
        <w:rPr/>
      </w:pPr>
      <w:r>
        <w:rPr>
          <w:b/>
          <w:bCs/>
          <w:color w:val="000000"/>
        </w:rPr>
        <w:t>1 решени</w:t>
      </w:r>
      <w:r>
        <w:rPr>
          <w:rFonts w:eastAsia="Times New Roman" w:cs="Times New Roman"/>
          <w:b/>
          <w:bCs/>
          <w:color w:val="000000"/>
          <w:sz w:val="28"/>
          <w:szCs w:val="24"/>
          <w:lang w:val="ru-RU" w:eastAsia="zh-CN" w:bidi="ar-SA"/>
        </w:rPr>
        <w:t>е</w:t>
      </w:r>
      <w:r>
        <w:rPr>
          <w:color w:val="000000"/>
        </w:rPr>
        <w:t xml:space="preserve"> – об освобождении лиц, совершивших административные правонарушения, от административной ответственности, с объявлением устных замечаний</w:t>
      </w:r>
      <w:r>
        <w:rPr>
          <w:color w:val="000000"/>
          <w:sz w:val="28"/>
        </w:rPr>
        <w:t>.</w:t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>По состоянию на 3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дека</w:t>
      </w:r>
      <w:r>
        <w:rPr>
          <w:color w:val="000000"/>
          <w:sz w:val="28"/>
          <w:szCs w:val="28"/>
        </w:rPr>
        <w:t>бря 2021 года общая сумма штрафов по нарушению законодательства РФ в области защиты населения и территорий от ЧС составила</w:t>
        <w:br/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200</w:t>
      </w:r>
      <w:r>
        <w:rPr>
          <w:b/>
          <w:color w:val="000000"/>
          <w:sz w:val="28"/>
          <w:szCs w:val="28"/>
        </w:rPr>
        <w:t xml:space="preserve"> 000 </w:t>
      </w:r>
      <w:r>
        <w:rPr>
          <w:color w:val="000000"/>
          <w:sz w:val="28"/>
          <w:szCs w:val="28"/>
        </w:rPr>
        <w:t>рублей.</w:t>
      </w:r>
    </w:p>
    <w:p>
      <w:pPr>
        <w:pStyle w:val="Normal"/>
        <w:ind w:left="0" w:right="0" w:firstLine="709"/>
        <w:jc w:val="both"/>
        <w:rPr>
          <w:color w:val="000000"/>
          <w:sz w:val="28"/>
          <w:szCs w:val="28"/>
        </w:rPr>
      </w:pPr>
      <w:r>
        <w:rPr/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Всего по результатам проверок направлено </w:t>
      </w:r>
      <w:r>
        <w:rPr>
          <w:b/>
          <w:color w:val="000000"/>
          <w:szCs w:val="28"/>
        </w:rPr>
        <w:t xml:space="preserve">6 </w:t>
      </w:r>
      <w:r>
        <w:rPr>
          <w:color w:val="000000"/>
          <w:szCs w:val="28"/>
        </w:rPr>
        <w:t>информационных писем о состоянии безопасности объектов государственного надзора, из них:</w:t>
      </w:r>
    </w:p>
    <w:p>
      <w:pPr>
        <w:pStyle w:val="BodyText3"/>
        <w:ind w:left="0" w:right="-8" w:firstLine="567"/>
        <w:rPr>
          <w:color w:val="000000"/>
          <w:szCs w:val="28"/>
        </w:rPr>
      </w:pPr>
      <w:r>
        <w:rPr/>
      </w:r>
    </w:p>
    <w:tbl>
      <w:tblPr>
        <w:tblW w:w="1026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7"/>
        <w:gridCol w:w="1725"/>
      </w:tblGrid>
      <w:tr>
        <w:trPr>
          <w:trHeight w:val="278" w:hRule="atLeast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вышестоящие организации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власти Российской Федерации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прокуратуры Российской Федерации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zh-CN" w:bidi="ar-SA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 w:eastAsia="zh-CN" w:bidi="ar-SA"/>
              </w:rPr>
              <w:t>1</w:t>
            </w:r>
          </w:p>
        </w:tc>
      </w:tr>
    </w:tbl>
    <w:p>
      <w:pPr>
        <w:pStyle w:val="BodyText3"/>
        <w:ind w:left="0" w:right="-8" w:firstLine="567"/>
        <w:rPr>
          <w:rFonts w:eastAsia="Times New Roman" w:cs="Times New Roman"/>
          <w:b/>
          <w:b/>
          <w:bCs/>
          <w:iCs/>
          <w:color w:val="00000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  <w:lang w:val="ru-RU" w:eastAsia="zh-CN" w:bidi="ar-SA"/>
        </w:rPr>
      </w:r>
    </w:p>
    <w:p>
      <w:pPr>
        <w:pStyle w:val="BodyText3"/>
        <w:ind w:left="0" w:right="-8" w:firstLine="567"/>
        <w:rPr/>
      </w:pPr>
      <w:r>
        <w:rPr>
          <w:color w:val="000000"/>
        </w:rPr>
        <w:t>За 2021 год должностными лицами управления были организованы и проведены следующие мероприятия, направленные на профилактику нарушений обязательных требований в области защиты населения и территорий от чрезвычайных ситуаций: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размещено в открытых источниках описаний процессов проведения контрольно–надзорных мероприятий –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237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раза;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проведено консультаций, инструктажей, по разъяснению обязательных требований –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468</w:t>
      </w:r>
      <w:r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ед.;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проведено семинаров, вебинаров, конференций, заседаний рабочих групп по разъяснению обязательных требований – </w:t>
      </w:r>
      <w:r>
        <w:rPr>
          <w:rFonts w:eastAsia="Times New Roman" w:cs="Times New Roman"/>
          <w:b/>
          <w:color w:val="000000"/>
          <w:sz w:val="28"/>
          <w:szCs w:val="28"/>
          <w:lang w:val="ru-RU" w:eastAsia="zh-CN" w:bidi="ar-SA"/>
        </w:rPr>
        <w:t>6</w:t>
      </w:r>
      <w:r>
        <w:rPr>
          <w:color w:val="000000"/>
          <w:szCs w:val="28"/>
        </w:rPr>
        <w:t xml:space="preserve"> ед.;</w:t>
      </w:r>
    </w:p>
    <w:p>
      <w:pPr>
        <w:pStyle w:val="BodyText3"/>
        <w:ind w:left="0" w:right="-8" w:firstLine="567"/>
        <w:rPr/>
      </w:pPr>
      <w:r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 xml:space="preserve">обеспечено </w:t>
      </w:r>
      <w:r>
        <w:rPr>
          <w:color w:val="000000"/>
        </w:rPr>
        <w:t xml:space="preserve">обобщение практики осуществления федерального государственного надзора и размещение на официальных сайтах в информационно–телекоммуникационной сети "Интернет" соответствующих обобщений – </w:t>
      </w:r>
      <w:r>
        <w:rPr>
          <w:b/>
          <w:bCs/>
          <w:color w:val="000000"/>
        </w:rPr>
        <w:t>6</w:t>
      </w:r>
      <w:r>
        <w:rPr>
          <w:color w:val="000000"/>
        </w:rPr>
        <w:t xml:space="preserve"> раз;</w:t>
      </w:r>
    </w:p>
    <w:p>
      <w:pPr>
        <w:pStyle w:val="BodyText3"/>
        <w:ind w:left="0" w:right="-8" w:firstLine="567"/>
        <w:rPr/>
      </w:pPr>
      <w:r>
        <w:rPr>
          <w:color w:val="000000"/>
        </w:rPr>
        <w:t xml:space="preserve">– </w:t>
      </w:r>
      <w:r>
        <w:rPr>
          <w:color w:val="000000"/>
        </w:rPr>
        <w:t xml:space="preserve">распространено памяток по </w:t>
      </w:r>
      <w:r>
        <w:rPr>
          <w:color w:val="000000"/>
        </w:rPr>
        <w:t>ГО, ЧС</w:t>
      </w:r>
      <w:r>
        <w:rPr>
          <w:color w:val="000000"/>
        </w:rPr>
        <w:t xml:space="preserve"> – </w:t>
      </w:r>
      <w:r>
        <w:rPr>
          <w:rFonts w:eastAsia="Times New Roman" w:cs="Times New Roman"/>
          <w:b/>
          <w:color w:val="000000"/>
          <w:sz w:val="28"/>
          <w:szCs w:val="24"/>
          <w:lang w:val="ru-RU" w:eastAsia="zh-CN" w:bidi="ar-SA"/>
        </w:rPr>
        <w:t xml:space="preserve">11700 </w:t>
      </w:r>
      <w:r>
        <w:rPr>
          <w:color w:val="000000"/>
        </w:rPr>
        <w:t xml:space="preserve">шт. </w:t>
      </w:r>
    </w:p>
    <w:p>
      <w:pPr>
        <w:pStyle w:val="BodyText3"/>
        <w:bidi w:val="0"/>
        <w:ind w:left="0" w:right="-8" w:firstLine="567"/>
        <w:jc w:val="both"/>
        <w:rPr>
          <w:rFonts w:eastAsia="Times New Roman" w:cs="Times New Roman"/>
          <w:b/>
          <w:b/>
          <w:bCs/>
          <w:iCs/>
          <w:color w:val="000000"/>
          <w:sz w:val="28"/>
          <w:szCs w:val="28"/>
          <w:lang w:val="ru-RU" w:eastAsia="zh-CN" w:bidi="ar-SA"/>
        </w:rPr>
      </w:pPr>
      <w:r>
        <w:rPr/>
      </w:r>
    </w:p>
    <w:sectPr>
      <w:type w:val="nextPage"/>
      <w:pgSz w:w="11906" w:h="16838"/>
      <w:pgMar w:left="1134" w:right="572" w:header="0" w:top="550" w:footer="0" w:bottom="41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3">
    <w:name w:val="Body Text 3"/>
    <w:basedOn w:val="Normal"/>
    <w:qFormat/>
    <w:pPr>
      <w:jc w:val="both"/>
    </w:pPr>
    <w:rPr>
      <w:color w:val="008000"/>
      <w:sz w:val="28"/>
    </w:rPr>
  </w:style>
  <w:style w:type="paragraph" w:styleId="Style19">
    <w:name w:val="Body Text Indent"/>
    <w:basedOn w:val="Style15"/>
    <w:pPr>
      <w:ind w:left="0" w:right="0" w:firstLine="210"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2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3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4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6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7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8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объектов надзора  в области защиты населения и территорий от ЧС на 1 инспектора </a:t>
            </a:r>
          </a:p>
        </c:rich>
      </c:tx>
      <c:layout>
        <c:manualLayout>
          <c:xMode val="edge"/>
          <c:yMode val="edge"/>
          <c:x val="0.0244128113879004"/>
          <c:y val="0.00891618783435704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25560">
          <a:noFill/>
        </a:ln>
      </c:spPr>
    </c:sideWall>
    <c:backWall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0.0813125"/>
          <c:y val="0.253333333333333"/>
          <c:w val="0.875625"/>
          <c:h val="0.615555555555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465a4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0.7</c:v>
                </c:pt>
                <c:pt idx="1">
                  <c:v>0.6</c:v>
                </c:pt>
                <c:pt idx="2">
                  <c:v>1.04</c:v>
                </c:pt>
              </c:numCache>
            </c:numRef>
          </c:val>
        </c:ser>
        <c:gapWidth val="150"/>
        <c:shape val="box"/>
        <c:axId val="30495129"/>
        <c:axId val="851013"/>
        <c:axId val="0"/>
      </c:bar3DChart>
      <c:catAx>
        <c:axId val="30495129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851013"/>
        <c:crosses val="autoZero"/>
        <c:auto val="1"/>
        <c:lblAlgn val="ctr"/>
        <c:lblOffset val="100"/>
        <c:noMultiLvlLbl val="0"/>
      </c:catAx>
      <c:valAx>
        <c:axId val="85101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0495129"/>
        <c:crosses val="autoZero"/>
        <c:crossBetween val="between"/>
      </c:valAx>
    </c:plotArea>
    <c:plotVisOnly val="1"/>
    <c:dispBlanksAs val="gap"/>
  </c:chart>
  <c:spPr>
    <a:noFill/>
    <a:ln w="9360"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Общее количество запланированных плановых проверок</a:t>
            </a:r>
          </a:p>
        </c:rich>
      </c:tx>
      <c:layout>
        <c:manualLayout>
          <c:xMode val="edge"/>
          <c:yMode val="edge"/>
          <c:x val="0.140249759846302"/>
          <c:y val="0.0103092783505155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25560">
          <a:noFill/>
        </a:ln>
      </c:spPr>
    </c:sideWall>
    <c:backWall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0.073125"/>
          <c:y val="0.156444444444444"/>
          <c:w val="0.876875"/>
          <c:h val="0.6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2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98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42</c:v>
                </c:pt>
                <c:pt idx="1">
                  <c:v>30</c:v>
                </c:pt>
                <c:pt idx="2">
                  <c:v>25</c:v>
                </c:pt>
              </c:numCache>
            </c:numRef>
          </c:val>
        </c:ser>
        <c:gapWidth val="150"/>
        <c:shape val="box"/>
        <c:axId val="94789779"/>
        <c:axId val="71564084"/>
        <c:axId val="0"/>
      </c:bar3DChart>
      <c:catAx>
        <c:axId val="94789779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71564084"/>
        <c:crosses val="autoZero"/>
        <c:auto val="1"/>
        <c:lblAlgn val="ctr"/>
        <c:lblOffset val="100"/>
        <c:noMultiLvlLbl val="0"/>
      </c:catAx>
      <c:valAx>
        <c:axId val="71564084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94789779"/>
        <c:crosses val="autoZero"/>
        <c:crossBetween val="between"/>
      </c:valAx>
    </c:plotArea>
    <c:plotVisOnly val="1"/>
    <c:dispBlanksAs val="gap"/>
  </c:chart>
  <c:spPr>
    <a:noFill/>
    <a:ln w="9360"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плановых и внеплановых проверок в области ЧС</a:t>
            </a:r>
          </a:p>
        </c:rich>
      </c:tx>
      <c:layout>
        <c:manualLayout>
          <c:xMode val="edge"/>
          <c:yMode val="edge"/>
          <c:x val="0.139753547859604"/>
          <c:y val="0.0337226277372263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36875"/>
          <c:y val="0.179222222222222"/>
          <c:w val="0.758625"/>
          <c:h val="0.545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проверок</c:v>
                </c:pt>
                <c:pt idx="1">
                  <c:v>Плановые проверки </c:v>
                </c:pt>
                <c:pt idx="2">
                  <c:v>Внеплановые проверки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57</c:v>
                </c:pt>
                <c:pt idx="1">
                  <c:v>42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5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проверок</c:v>
                </c:pt>
                <c:pt idx="1">
                  <c:v>Плановые проверки </c:v>
                </c:pt>
                <c:pt idx="2">
                  <c:v>Внеплановые проверки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44</c:v>
                </c:pt>
                <c:pt idx="1">
                  <c:v>27</c:v>
                </c:pt>
                <c:pt idx="2">
                  <c:v>17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5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проверок</c:v>
                </c:pt>
                <c:pt idx="1">
                  <c:v>Плановые проверки </c:v>
                </c:pt>
                <c:pt idx="2">
                  <c:v>Внеплановые проверки 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40</c:v>
                </c:pt>
                <c:pt idx="1">
                  <c:v>25</c:v>
                </c:pt>
                <c:pt idx="2">
                  <c:v>15</c:v>
                </c:pt>
              </c:numCache>
            </c:numRef>
          </c:val>
        </c:ser>
        <c:gapWidth val="150"/>
        <c:shape val="box"/>
        <c:axId val="4985927"/>
        <c:axId val="47198661"/>
        <c:axId val="0"/>
      </c:bar3DChart>
      <c:catAx>
        <c:axId val="4985927"/>
        <c:scaling>
          <c:orientation val="minMax"/>
        </c:scaling>
        <c:delete val="0"/>
        <c:axPos val="b"/>
        <c:numFmt formatCode="[$-419]dd/mm/yyyy" sourceLinked="1"/>
        <c:majorTickMark val="cross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 rot="-600000"/>
          <a:lstStyle/>
          <a:p>
            <a:pPr>
              <a:defRPr b="1" sz="8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7198661"/>
        <c:crosses val="autoZero"/>
        <c:auto val="1"/>
        <c:lblAlgn val="ctr"/>
        <c:lblOffset val="100"/>
        <c:noMultiLvlLbl val="0"/>
      </c:catAx>
      <c:valAx>
        <c:axId val="47198661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985927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375"/>
          <c:y val="0.253888888888889"/>
          <c:w val="0.170010625664104"/>
          <c:h val="0.551172352483609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выданных предписаний в области ЧС</a:t>
            </a:r>
          </a:p>
        </c:rich>
      </c:tx>
      <c:layout>
        <c:manualLayout>
          <c:xMode val="edge"/>
          <c:yMode val="edge"/>
          <c:x val="0.167651195499297"/>
          <c:y val="0.0386533665835411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19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9375"/>
          <c:y val="0.189"/>
          <c:w val="0.88525"/>
          <c:h val="0.5791111111111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gapWidth val="150"/>
        <c:shape val="box"/>
        <c:axId val="22733513"/>
        <c:axId val="32473967"/>
        <c:axId val="0"/>
      </c:bar3DChart>
      <c:catAx>
        <c:axId val="22733513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2473967"/>
        <c:crosses val="autoZero"/>
        <c:auto val="1"/>
        <c:lblAlgn val="ctr"/>
        <c:lblOffset val="100"/>
        <c:noMultiLvlLbl val="0"/>
      </c:catAx>
      <c:valAx>
        <c:axId val="3247396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22733513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24375"/>
          <c:y val="0.845"/>
          <c:w val="0.738421151321958"/>
          <c:h val="0.137459717746416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Доля проверок , при которых выявлены нарушения обязательных требований в области ЧС (%)</a:t>
            </a:r>
          </a:p>
        </c:rich>
      </c:tx>
      <c:layout>
        <c:manualLayout>
          <c:xMode val="edge"/>
          <c:yMode val="edge"/>
          <c:x val="0.0252975178510711"/>
          <c:y val="0.0229610580455547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587555253315199"/>
          <c:y val="0.237325495958854"/>
          <c:w val="0.917987079224753"/>
          <c:h val="0.5975385745775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36.8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gapWidth val="150"/>
        <c:shape val="box"/>
        <c:axId val="25977196"/>
        <c:axId val="72442926"/>
        <c:axId val="0"/>
      </c:bar3DChart>
      <c:catAx>
        <c:axId val="25977196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2442926"/>
        <c:crosses val="autoZero"/>
        <c:auto val="1"/>
        <c:lblAlgn val="ctr"/>
        <c:lblOffset val="100"/>
        <c:noMultiLvlLbl val="0"/>
      </c:catAx>
      <c:valAx>
        <c:axId val="72442926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.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259771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022781366882"/>
          <c:y val="0.850844966936076"/>
          <c:w val="0.793525571273123"/>
          <c:h val="0.111519382693368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200" spc="-1" strike="noStrike">
                <a:solidFill>
                  <a:srgbClr val="000000"/>
                </a:solidFill>
                <a:latin typeface="Times New Roman"/>
              </a:rPr>
              <a:t>Количество составленных протоколов в области ЧС</a:t>
            </a:r>
          </a:p>
        </c:rich>
      </c:tx>
      <c:layout>
        <c:manualLayout>
          <c:xMode val="edge"/>
          <c:yMode val="edge"/>
          <c:x val="0.206196371258269"/>
          <c:y val="0.0312657589510842"/>
        </c:manualLayout>
      </c:layout>
      <c:overlay val="0"/>
      <c:spPr>
        <a:noFill/>
        <a:ln>
          <a:noFill/>
        </a:ln>
      </c:spPr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layout>
        <c:manualLayout>
          <c:layoutTarget val="inner"/>
          <c:xMode val="edge"/>
          <c:yMode val="edge"/>
          <c:x val="0.0689375"/>
          <c:y val="0.151555555555556"/>
          <c:w val="0.7499375"/>
          <c:h val="0.6507777777777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 год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2e5f99"/>
                  </a:gs>
                  <a:gs pos="100000">
                    <a:srgbClr val="3c7ac7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20</c:v>
                </c:pt>
                <c:pt idx="1">
                  <c:v>4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 год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9c2f2c"/>
                  </a:gs>
                  <a:gs pos="100000">
                    <a:srgbClr val="cb3d39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13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 год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>
              <a:noFill/>
            </a:ln>
          </c:spPr>
          <c:invertIfNegative val="0"/>
          <c:dPt>
            <c:idx val="0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Pt>
            <c:idx val="1"/>
            <c:invertIfNegative val="0"/>
            <c:spPr>
              <a:gradFill>
                <a:gsLst>
                  <a:gs pos="0">
                    <a:srgbClr val="779637"/>
                  </a:gs>
                  <a:gs pos="100000">
                    <a:srgbClr val="9bc348"/>
                  </a:gs>
                </a:gsLst>
                <a:lin ang="16200000"/>
              </a:gradFill>
              <a:ln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/>
                <a:lstStyle/>
                <a:p>
                  <a:pPr>
                    <a:defRPr b="1" sz="1000" spc="-1" strike="noStrike">
                      <a:solidFill>
                        <a:srgbClr val="000000"/>
                      </a:solidFill>
                      <a:latin typeface="Times New Roman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Times New Roman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3"/>
                <c:pt idx="0">
                  <c:v>Общее количество протоколов</c:v>
                </c:pt>
                <c:pt idx="1">
                  <c:v>на должностных лиц</c:v>
                </c:pt>
                <c:pt idx="2">
                  <c:v>на юридических лиц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12</c:v>
                </c:pt>
                <c:pt idx="1">
                  <c:v>2</c:v>
                </c:pt>
                <c:pt idx="2">
                  <c:v>10</c:v>
                </c:pt>
              </c:numCache>
            </c:numRef>
          </c:val>
        </c:ser>
        <c:gapWidth val="150"/>
        <c:shape val="box"/>
        <c:axId val="77553469"/>
        <c:axId val="198077"/>
        <c:axId val="0"/>
      </c:bar3DChart>
      <c:catAx>
        <c:axId val="77553469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1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98077"/>
        <c:crosses val="autoZero"/>
        <c:auto val="1"/>
        <c:lblAlgn val="ctr"/>
        <c:lblOffset val="100"/>
        <c:noMultiLvlLbl val="0"/>
      </c:catAx>
      <c:valAx>
        <c:axId val="198077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77553469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5625"/>
          <c:y val="0.244333333333333"/>
          <c:w val="0.16513532095756"/>
          <c:h val="0.549172130236693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Times New Roman"/>
            </a:defRPr>
          </a:pPr>
        </a:p>
      </c:txPr>
    </c:legend>
    <c:plotVisOnly val="1"/>
    <c:dispBlanksAs val="gap"/>
  </c:chart>
  <c:spPr>
    <a:noFill/>
    <a:ln w="9360">
      <a:noFill/>
    </a:ln>
  </c:spPr>
  <c:externalData r:id="rId1"/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LibreOffice_project/72d9d5113b23a0ed474720f9d366fcde9a2744dd</Application>
  <Pages>4</Pages>
  <Words>574</Words>
  <Characters>4140</Characters>
  <CharactersWithSpaces>4709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2022-02-16T14:19:00Z</dcterms:modified>
  <cp:revision>4</cp:revision>
  <dc:subject/>
  <dc:title/>
</cp:coreProperties>
</file>