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rawings/drawing2.xml" ContentType="application/vnd.openxmlformats-officedocument.drawingml.chartshapes+xml"/>
  <Override PartName="/word/drawings/drawing3.xml" ContentType="application/vnd.openxmlformats-officedocument.drawingml.chartshape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_rels/chart8.xml.rels" ContentType="application/vnd.openxmlformats-package.relationships+xml"/>
  <Override PartName="/word/charts/_rels/chart9.xml.rels" ContentType="application/vnd.openxmlformats-package.relationships+xml"/>
  <Override PartName="/word/charts/_rels/chart1.xml.rels" ContentType="application/vnd.openxmlformats-package.relationships+xml"/>
  <Override PartName="/word/charts/_rels/chart10.xml.rels" ContentType="application/vnd.openxmlformats-package.relationships+xml"/>
  <Override PartName="/word/charts/_rels/chart7.xml.rels" ContentType="application/vnd.openxmlformats-package.relationships+xml"/>
  <Override PartName="/word/charts/_rels/chart12.xml.rels" ContentType="application/vnd.openxmlformats-package.relationships+xml"/>
  <Override PartName="/word/charts/_rels/chart5.xml.rels" ContentType="application/vnd.openxmlformats-package.relationships+xml"/>
  <Override PartName="/word/charts/_rels/chart6.xml.rels" ContentType="application/vnd.openxmlformats-package.relationships+xml"/>
  <Override PartName="/word/charts/_rels/chart4.xml.rels" ContentType="application/vnd.openxmlformats-package.relationships+xml"/>
  <Override PartName="/word/charts/_rels/chart3.xml.rels" ContentType="application/vnd.openxmlformats-package.relationships+xml"/>
  <Override PartName="/word/charts/_rels/chart2.xml.rels" ContentType="application/vnd.openxmlformats-package.relationships+xml"/>
  <Override PartName="/word/charts/_rels/chart11.xml.rels" ContentType="application/vnd.openxmlformats-package.relationship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11.xml" ContentType="application/vnd.openxmlformats-officedocument.drawingml.chart+xml"/>
  <Override PartName="/word/charts/chart7.xml" ContentType="application/vnd.openxmlformats-officedocument.drawingml.chart+xml"/>
  <Override PartName="/word/charts/chart12.xml" ContentType="application/vnd.openxmlformats-officedocument.drawingml.chart+xml"/>
  <Override PartName="/word/charts/chart8.xml" ContentType="application/vnd.openxmlformats-officedocument.drawingml.chart+xml"/>
  <Override PartName="/word/charts/chart10.xml" ContentType="application/vnd.openxmlformats-officedocument.drawingml.chart+xml"/>
  <Override PartName="/word/charts/chart9.xml" ContentType="application/vnd.openxmlformats-officedocument.drawingml.chart+xml"/>
  <Override PartName="/word/settings.xml" ContentType="application/vnd.openxmlformats-officedocument.wordprocessingml.settings+xml"/>
  <Override PartName="/word/embeddings/Microsoft_Excel_Worksheet12.xlsx" ContentType="application/vnd.openxmlformats-officedocument.spreadsheetml.sheet"/>
  <Override PartName="/word/embeddings/Microsoft_Excel_Worksheet8.xlsx" ContentType="application/vnd.openxmlformats-officedocument.spreadsheetml.sheet"/>
  <Override PartName="/word/embeddings/Microsoft_Excel_Worksheet10.xlsx" ContentType="application/vnd.openxmlformats-officedocument.spreadsheetml.sheet"/>
  <Override PartName="/word/embeddings/Microsoft_Excel_Worksheet9.xlsx" ContentType="application/vnd.openxmlformats-officedocument.spreadsheetml.sheet"/>
  <Override PartName="/word/embeddings/Microsoft_Excel_Worksheet11.xlsx" ContentType="application/vnd.openxmlformats-officedocument.spreadsheetml.sheet"/>
  <Override PartName="/word/embeddings/Microsoft_Excel_Worksheet4.xlsx" ContentType="application/vnd.openxmlformats-officedocument.spreadsheetml.sheet"/>
  <Override PartName="/word/embeddings/Microsoft_Excel_Worksheet1.xlsx" ContentType="application/vnd.openxmlformats-officedocument.spreadsheetml.sheet"/>
  <Override PartName="/word/embeddings/Microsoft_Excel_Worksheet6.xlsx" ContentType="application/vnd.openxmlformats-officedocument.spreadsheetml.sheet"/>
  <Override PartName="/word/embeddings/Microsoft_Excel_Worksheet2.xlsx" ContentType="application/vnd.openxmlformats-officedocument.spreadsheetml.sheet"/>
  <Override PartName="/word/embeddings/Microsoft_Excel_Worksheet7.xlsx" ContentType="application/vnd.openxmlformats-officedocument.spreadsheetml.sheet"/>
  <Override PartName="/word/embeddings/Microsoft_Excel_Worksheet3.xlsx" ContentType="application/vnd.openxmlformats-officedocument.spreadsheetml.sheet"/>
  <Override PartName="/word/embeddings/Microsoft_Excel_Worksheet5.xlsx" ContentType="application/vnd.openxmlformats-officedocument.spreadsheetml.sheet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4" w:right="425" w:hanging="0"/>
        <w:jc w:val="center"/>
        <w:rPr>
          <w:b/>
          <w:b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2" wp14:anchorId="192D809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73190" cy="9575800"/>
                <wp:effectExtent l="0" t="0" r="23495" b="26035"/>
                <wp:wrapNone/>
                <wp:docPr id="1" name="Rectangle 7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440" cy="9575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61" path="m0,0l-2147483645,0l-2147483645,-2147483646l0,-2147483646xe" stroked="t" o:allowincell="f" style="position:absolute;margin-left:0pt;margin-top:0pt;width:509.6pt;height:753.9pt;mso-wrap-style:none;v-text-anchor:middle" wp14:anchorId="192D8097">
                <v:fill o:detectmouseclick="t" on="false"/>
                <v:stroke color="#333399" weight="9360" joinstyle="miter" endcap="flat"/>
                <w10:wrap type="none"/>
              </v:rect>
            </w:pict>
          </mc:Fallback>
        </mc:AlternateContent>
      </w:r>
      <w:r>
        <w:rPr>
          <w:b/>
        </w:rPr>
        <w:t xml:space="preserve"> </w:t>
      </w:r>
    </w:p>
    <w:p>
      <w:pPr>
        <w:pStyle w:val="Normal"/>
        <w:ind w:left="284" w:right="425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right="425" w:hanging="0"/>
        <w:jc w:val="center"/>
        <w:rPr/>
      </w:pPr>
      <w:r>
        <w:rPr/>
      </w:r>
    </w:p>
    <w:p>
      <w:pPr>
        <w:pStyle w:val="Normal"/>
        <w:ind w:right="425" w:hanging="0"/>
        <w:jc w:val="center"/>
        <w:rPr/>
      </w:pPr>
      <w:r>
        <w:rPr/>
      </w:r>
    </w:p>
    <w:p>
      <w:pPr>
        <w:pStyle w:val="Normal"/>
        <w:ind w:right="425" w:hanging="0"/>
        <w:jc w:val="center"/>
        <w:rPr/>
      </w:pPr>
      <w:r>
        <w:rPr/>
      </w:r>
    </w:p>
    <w:p>
      <w:pPr>
        <w:pStyle w:val="Normal"/>
        <w:ind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284" w:right="425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284" w:right="425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284" w:right="425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284" w:right="425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284" w:right="425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284" w:right="425" w:hanging="0"/>
        <w:jc w:val="center"/>
        <w:rPr>
          <w:sz w:val="40"/>
        </w:rPr>
      </w:pPr>
      <w:r>
        <w:rPr>
          <w:sz w:val="40"/>
        </w:rPr>
      </w:r>
    </w:p>
    <w:p>
      <w:pPr>
        <w:pStyle w:val="Normal"/>
        <w:keepNext w:val="true"/>
        <w:numPr>
          <w:ilvl w:val="0"/>
          <w:numId w:val="0"/>
        </w:numPr>
        <w:spacing w:before="0" w:after="120"/>
        <w:ind w:right="14" w:hanging="0"/>
        <w:jc w:val="center"/>
        <w:outlineLvl w:val="0"/>
        <w:rPr>
          <w:b/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ОБЗОР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правоприменительной практики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ПРИЧИН И УСЛОВИЙ СПОСОБСТВУЮЩИХ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ВОЗНИКНОВЕНИЮ И РАСПРОСТРАНЕНИЮ ПОЖАРОВ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right="14" w:hanging="0"/>
        <w:jc w:val="center"/>
        <w:outlineLvl w:val="0"/>
        <w:rPr>
          <w:b/>
          <w:b/>
          <w:bCs/>
          <w:color w:val="000000"/>
          <w:sz w:val="34"/>
        </w:rPr>
      </w:pPr>
      <w:r>
        <w:rPr>
          <w:b/>
          <w:bCs/>
          <w:color w:val="000000"/>
          <w:sz w:val="34"/>
        </w:rPr>
        <w:t>ОБСТАНОВКА   С   ПОЖАРАМИ</w:t>
      </w:r>
    </w:p>
    <w:p>
      <w:pPr>
        <w:pStyle w:val="Normal"/>
        <w:ind w:right="14" w:hanging="0"/>
        <w:jc w:val="center"/>
        <w:rPr>
          <w:b/>
          <w:b/>
          <w:bCs/>
          <w:color w:val="000000"/>
          <w:sz w:val="34"/>
        </w:rPr>
      </w:pPr>
      <w:r>
        <w:rPr>
          <w:b/>
          <w:bCs/>
          <w:color w:val="000000"/>
          <w:sz w:val="34"/>
        </w:rPr>
        <w:t>И  ПОСЛЕДСТВИЙ  ОТ  НИХ</w:t>
      </w:r>
    </w:p>
    <w:p>
      <w:pPr>
        <w:pStyle w:val="Normal"/>
        <w:ind w:right="14" w:hanging="0"/>
        <w:jc w:val="center"/>
        <w:rPr>
          <w:b/>
          <w:b/>
          <w:bCs/>
          <w:color w:val="000000"/>
          <w:sz w:val="34"/>
        </w:rPr>
      </w:pPr>
      <w:r>
        <w:rPr>
          <w:b/>
          <w:bCs/>
          <w:color w:val="000000"/>
          <w:sz w:val="34"/>
        </w:rPr>
        <w:t>НА  ТЕРРИТОРИИ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right="14" w:hanging="0"/>
        <w:jc w:val="center"/>
        <w:textAlignment w:val="baseline"/>
        <w:outlineLvl w:val="5"/>
        <w:rPr>
          <w:b/>
          <w:b/>
          <w:bCs/>
          <w:iCs/>
          <w:color w:val="000000"/>
          <w:spacing w:val="-2"/>
          <w:sz w:val="32"/>
          <w:szCs w:val="20"/>
        </w:rPr>
      </w:pPr>
      <w:r>
        <w:rPr>
          <w:b/>
          <w:bCs/>
          <w:iCs/>
          <w:color w:val="000000"/>
          <w:spacing w:val="-2"/>
          <w:sz w:val="32"/>
          <w:szCs w:val="20"/>
        </w:rPr>
        <w:t xml:space="preserve">Челябинской области 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120" w:after="0"/>
        <w:ind w:right="14" w:hanging="0"/>
        <w:jc w:val="center"/>
        <w:textAlignment w:val="baseline"/>
        <w:outlineLvl w:val="6"/>
        <w:rPr>
          <w:b/>
          <w:b/>
          <w:bCs/>
          <w:color w:val="000000"/>
          <w:spacing w:val="-2"/>
          <w:sz w:val="36"/>
          <w:szCs w:val="20"/>
        </w:rPr>
      </w:pPr>
      <w:r>
        <w:rPr>
          <w:b/>
          <w:bCs/>
          <w:i w:val="false"/>
          <w:iCs w:val="false"/>
          <w:color w:val="000000"/>
          <w:spacing w:val="-2"/>
          <w:sz w:val="36"/>
          <w:szCs w:val="20"/>
        </w:rPr>
        <w:t>за 202</w:t>
      </w:r>
      <w:r>
        <w:rPr>
          <w:b/>
          <w:bCs/>
          <w:i w:val="false"/>
          <w:iCs w:val="false"/>
          <w:color w:val="000000"/>
          <w:spacing w:val="-2"/>
          <w:sz w:val="36"/>
          <w:szCs w:val="20"/>
        </w:rPr>
        <w:t>2</w:t>
      </w:r>
      <w:r>
        <w:rPr>
          <w:b/>
          <w:bCs/>
          <w:i w:val="false"/>
          <w:iCs w:val="false"/>
          <w:color w:val="000000"/>
          <w:spacing w:val="-2"/>
          <w:sz w:val="36"/>
          <w:szCs w:val="20"/>
        </w:rPr>
        <w:t xml:space="preserve"> год</w:t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Normal"/>
        <w:ind w:left="284" w:right="425" w:hanging="0"/>
        <w:jc w:val="center"/>
        <w:rPr/>
      </w:pPr>
      <w:r>
        <w:rPr/>
      </w:r>
    </w:p>
    <w:p>
      <w:pPr>
        <w:pStyle w:val="4"/>
        <w:rPr>
          <w:color w:val="auto"/>
        </w:rPr>
      </w:pPr>
      <w:r>
        <w:rPr>
          <w:color w:val="auto"/>
        </w:rPr>
        <w:t>Челябинск 2022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Обстановка с пожарами и их последствиями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Челябинской области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двенадцати месяцев 2022 года обстановка с пожарами в Челябинской области по сравнению с аналогичным периодом прошлого года (АППГ) характеризовалась следующими основными показателями: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зарегистрировано 9326 пожаров (-35% к АППГ, 2021 - 14427 пожаров);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погибло при пожарах 175 человек, в т.ч. 4 ребенка (-4% к АППГ, 2021-182 человека, в т.ч. 4 ребенка);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получили травмы на пожарах 203 человека, в т.ч. 20 детей (-1% к АППГ, 2021- 206 человек, в т.ч. 18 детей);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прямой материальный ущерб причинен в размере 39573 тыс. рублей (+46% к АППГ, 2021 – 27097 тыс. рублей).</w:t>
      </w:r>
    </w:p>
    <w:p>
      <w:pPr>
        <w:pStyle w:val="Normal"/>
        <w:ind w:firstLine="54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Количество пожаров и их последствия в Челябинской области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4445" distB="4445" distL="4445" distR="4445" simplePos="0" locked="0" layoutInCell="0" allowOverlap="1" relativeHeight="3" wp14:anchorId="71789C8E">
                <wp:simplePos x="0" y="0"/>
                <wp:positionH relativeFrom="column">
                  <wp:posOffset>1199515</wp:posOffset>
                </wp:positionH>
                <wp:positionV relativeFrom="paragraph">
                  <wp:posOffset>98425</wp:posOffset>
                </wp:positionV>
                <wp:extent cx="588645" cy="485140"/>
                <wp:effectExtent l="0" t="0" r="0" b="0"/>
                <wp:wrapNone/>
                <wp:docPr id="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80" cy="48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b/>
                                <w:b/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  <w:t>-35%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94.45pt;margin-top:7.75pt;width:46.25pt;height:38.1pt;mso-wrap-style:square;v-text-anchor:top" wp14:anchorId="71789C8E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e21"/>
                        <w:rPr>
                          <w:b/>
                          <w:b/>
                          <w:color w:val="4F6228" w:themeColor="accent3" w:themeShade="80"/>
                        </w:rPr>
                      </w:pPr>
                      <w:r>
                        <w:rPr>
                          <w:b/>
                          <w:color w:val="4F6228" w:themeColor="accent3" w:themeShade="80"/>
                        </w:rPr>
                        <w:t>-35%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  <mc:AlternateContent>
          <mc:Choice Requires="wps">
            <w:drawing>
              <wp:anchor behindDoc="0" distT="4445" distB="4445" distL="4445" distR="4445" simplePos="0" locked="0" layoutInCell="0" allowOverlap="1" relativeHeight="5" wp14:anchorId="044CE106">
                <wp:simplePos x="0" y="0"/>
                <wp:positionH relativeFrom="column">
                  <wp:posOffset>2275840</wp:posOffset>
                </wp:positionH>
                <wp:positionV relativeFrom="paragraph">
                  <wp:posOffset>781685</wp:posOffset>
                </wp:positionV>
                <wp:extent cx="620395" cy="354330"/>
                <wp:effectExtent l="0" t="0" r="0" b="0"/>
                <wp:wrapNone/>
                <wp:docPr id="4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" cy="35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b/>
                                <w:b/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  <w:t>-4%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179.2pt;margin-top:61.55pt;width:48.75pt;height:27.8pt;mso-wrap-style:square;v-text-anchor:top" wp14:anchorId="044CE106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e21"/>
                        <w:rPr>
                          <w:b/>
                          <w:b/>
                          <w:color w:val="4F6228" w:themeColor="accent3" w:themeShade="80"/>
                        </w:rPr>
                      </w:pPr>
                      <w:r>
                        <w:rPr>
                          <w:b/>
                          <w:color w:val="4F6228" w:themeColor="accent3" w:themeShade="80"/>
                        </w:rPr>
                        <w:t>-4%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7" wp14:anchorId="72A1C677">
                <wp:simplePos x="0" y="0"/>
                <wp:positionH relativeFrom="column">
                  <wp:posOffset>3359785</wp:posOffset>
                </wp:positionH>
                <wp:positionV relativeFrom="paragraph">
                  <wp:posOffset>1463040</wp:posOffset>
                </wp:positionV>
                <wp:extent cx="915035" cy="405765"/>
                <wp:effectExtent l="0" t="0" r="0" b="0"/>
                <wp:wrapNone/>
                <wp:docPr id="6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 уровне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264.55pt;margin-top:115.2pt;width:71.95pt;height:31.85pt;mso-wrap-style:square;v-text-anchor:top" wp14:anchorId="72A1C677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e21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На уровне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0" distL="3175" distR="0" simplePos="0" locked="0" layoutInCell="0" allowOverlap="1" relativeHeight="11" wp14:anchorId="74774603">
                <wp:simplePos x="0" y="0"/>
                <wp:positionH relativeFrom="column">
                  <wp:posOffset>1198245</wp:posOffset>
                </wp:positionH>
                <wp:positionV relativeFrom="paragraph">
                  <wp:posOffset>116840</wp:posOffset>
                </wp:positionV>
                <wp:extent cx="486410" cy="219710"/>
                <wp:effectExtent l="0" t="0" r="47625" b="47625"/>
                <wp:wrapNone/>
                <wp:docPr id="8" name="Выгнутая вверх стрелка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0" cy="219240"/>
                        </a:xfrm>
                        <a:prstGeom prst="curvedDownArrow">
                          <a:avLst>
                            <a:gd name="adj1" fmla="val 47299"/>
                            <a:gd name="adj2" fmla="val 94649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ыгнутая вверх стрелка 14" path="l-2147483595,-2147483590l-2147483600,-2147483590l-2147483630,-2147483568l-2147483567,-2147483566l-2147483610,0l-2147483630,-2147483568xel-2147483593,-2147483590l-2147483582,-2147483584l-2147483630,-2147483568xel0,-2147483570l-2147483630,-2147483568l-2147483561,-2147483560l-2147483582,-2147483584l-2147483630,-2147483568l-2147483559,-2147483558l0,-2147483570l-2147483630,-2147483568l-2147483557,-2147483556l-2147483610,0e" fillcolor="#00b050" stroked="t" o:allowincell="f" style="position:absolute;margin-left:94.35pt;margin-top:9.2pt;width:38.2pt;height:17.2pt;mso-wrap-style:none;v-text-anchor:middle" wp14:anchorId="74774603">
                <v:fill o:detectmouseclick="t" type="solid" color2="#ff4faf"/>
                <v:stroke color="black" weight="648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0" distL="3175" distR="0" simplePos="0" locked="0" layoutInCell="0" allowOverlap="1" relativeHeight="12" wp14:anchorId="1B7ABED3">
                <wp:simplePos x="0" y="0"/>
                <wp:positionH relativeFrom="column">
                  <wp:posOffset>4662805</wp:posOffset>
                </wp:positionH>
                <wp:positionV relativeFrom="paragraph">
                  <wp:posOffset>985520</wp:posOffset>
                </wp:positionV>
                <wp:extent cx="486410" cy="219710"/>
                <wp:effectExtent l="0" t="0" r="47625" b="47625"/>
                <wp:wrapNone/>
                <wp:docPr id="9" name="Выгнутая вверх стрелка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0" cy="219240"/>
                        </a:xfrm>
                        <a:prstGeom prst="curvedDownArrow">
                          <a:avLst>
                            <a:gd name="adj1" fmla="val 47299"/>
                            <a:gd name="adj2" fmla="val 94649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ыгнутая вверх стрелка 15" path="l-2147483595,-2147483590l-2147483600,-2147483590l-2147483630,-2147483568l-2147483567,-2147483566l-2147483610,0l-2147483630,-2147483568xel-2147483593,-2147483590l-2147483582,-2147483584l-2147483630,-2147483568xel0,-2147483570l-2147483630,-2147483568l-2147483561,-2147483560l-2147483582,-2147483584l-2147483630,-2147483568l-2147483559,-2147483558l0,-2147483570l-2147483630,-2147483568l-2147483557,-2147483556l-2147483610,0e" fillcolor="#00b050" stroked="t" o:allowincell="f" style="position:absolute;margin-left:367.15pt;margin-top:77.6pt;width:38.2pt;height:17.2pt;mso-wrap-style:none;v-text-anchor:middle" wp14:anchorId="1B7ABED3">
                <v:fill o:detectmouseclick="t" type="solid" color2="#ff4faf"/>
                <v:stroke color="black" weight="648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4" wp14:anchorId="26C89E5C">
                <wp:simplePos x="0" y="0"/>
                <wp:positionH relativeFrom="column">
                  <wp:posOffset>4663440</wp:posOffset>
                </wp:positionH>
                <wp:positionV relativeFrom="paragraph">
                  <wp:posOffset>696595</wp:posOffset>
                </wp:positionV>
                <wp:extent cx="628650" cy="278765"/>
                <wp:effectExtent l="0" t="0" r="0" b="0"/>
                <wp:wrapNone/>
                <wp:docPr id="10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40" cy="27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b/>
                                <w:b/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  <w:t>-1%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367.2pt;margin-top:54.85pt;width:49.4pt;height:21.85pt;mso-wrap-style:square;v-text-anchor:top" wp14:anchorId="26C89E5C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e21"/>
                        <w:rPr>
                          <w:b/>
                          <w:b/>
                          <w:color w:val="4F6228" w:themeColor="accent3" w:themeShade="80"/>
                        </w:rPr>
                      </w:pPr>
                      <w:r>
                        <w:rPr>
                          <w:b/>
                          <w:color w:val="4F6228" w:themeColor="accent3" w:themeShade="80"/>
                        </w:rPr>
                        <w:t>-1%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5486400" cy="3200400"/>
            <wp:effectExtent l="0" t="0" r="0" b="0"/>
            <wp:docPr id="1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 в Челябинской области в среднем происходило 25 пожаров.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пожарах огнем уничтожено: 927 строений (-15% к АППГ, 2021 – 1090), 48 жилых квартир (-45% к АППГ, 2021 - 87), 124 единицы автотракторной и другой техники (-38% к АППГ, 2021 - 199). При пожарах в хозяйствах и личных подворьях граждан погибло скота в количестве 385 голов (+30% к АППГ, 2021 - 267).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Подразделениями пожарной охраны спасено 277 человек и материальных ценностей на сумму более 1173 млн. рублей.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Обстановка с пожарами и их последствиями</w:t>
      </w:r>
    </w:p>
    <w:p>
      <w:pPr>
        <w:pStyle w:val="Normal"/>
        <w:shd w:val="clear" w:color="auto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городской местности</w:t>
      </w:r>
    </w:p>
    <w:p>
      <w:pPr>
        <w:pStyle w:val="Normal"/>
        <w:shd w:val="clear" w:color="auto" w:fill="FFFFFF"/>
        <w:ind w:firstLine="709"/>
        <w:jc w:val="both"/>
        <w:rPr>
          <w:sz w:val="10"/>
          <w:szCs w:val="10"/>
          <w:highlight w:val="yellow"/>
        </w:rPr>
      </w:pPr>
      <w:r>
        <w:rPr>
          <w:sz w:val="10"/>
          <w:szCs w:val="10"/>
          <w:highlight w:val="yellow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городской местности зарегистрирован 6201 пожар (-38% к АППГ, 2021 - 9949), на которых погибло 106 человек (-15% к АППГ, 2021 - 125), в том числе 3 несовершеннолетних (-1 случай к АППГ, 2021 -4), получили травмы 157 человек</w:t>
        <w:br/>
        <w:t>(-1% к АППГ, 2021 - 158).</w:t>
      </w:r>
      <w:r>
        <w:rPr>
          <w:rFonts w:cs="Times New Roman CYR" w:ascii="Times New Roman CYR" w:hAnsi="Times New Roman CYR"/>
          <w:sz w:val="20"/>
          <w:szCs w:val="20"/>
        </w:rPr>
        <w:t xml:space="preserve"> 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4445" distB="4445" distL="4445" distR="4445" simplePos="0" locked="0" layoutInCell="0" allowOverlap="1" relativeHeight="19" wp14:anchorId="2428DDD2">
                <wp:simplePos x="0" y="0"/>
                <wp:positionH relativeFrom="column">
                  <wp:posOffset>1111885</wp:posOffset>
                </wp:positionH>
                <wp:positionV relativeFrom="paragraph">
                  <wp:posOffset>-102870</wp:posOffset>
                </wp:positionV>
                <wp:extent cx="623570" cy="625475"/>
                <wp:effectExtent l="0" t="0" r="0" b="3810"/>
                <wp:wrapNone/>
                <wp:docPr id="1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00" cy="62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b/>
                                <w:b/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</w:r>
                          </w:p>
                          <w:p>
                            <w:pPr>
                              <w:pStyle w:val="Style21"/>
                              <w:rPr>
                                <w:b/>
                                <w:b/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  <w:t>-38%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87.55pt;margin-top:-8.1pt;width:49pt;height:49.15pt;mso-wrap-style:square;v-text-anchor:top" wp14:anchorId="2428DDD2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e21"/>
                        <w:rPr>
                          <w:b/>
                          <w:b/>
                          <w:color w:val="4F6228" w:themeColor="accent3" w:themeShade="80"/>
                        </w:rPr>
                      </w:pPr>
                      <w:r>
                        <w:rPr>
                          <w:b/>
                          <w:color w:val="4F6228" w:themeColor="accent3" w:themeShade="80"/>
                        </w:rPr>
                      </w:r>
                    </w:p>
                    <w:p>
                      <w:pPr>
                        <w:pStyle w:val="Style21"/>
                        <w:rPr>
                          <w:b/>
                          <w:b/>
                          <w:color w:val="4F6228" w:themeColor="accent3" w:themeShade="80"/>
                        </w:rPr>
                      </w:pPr>
                      <w:r>
                        <w:rPr>
                          <w:b/>
                          <w:color w:val="4F6228" w:themeColor="accent3" w:themeShade="80"/>
                        </w:rPr>
                        <w:t>-38%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3175" distB="0" distL="3175" distR="0" simplePos="0" locked="0" layoutInCell="0" allowOverlap="1" relativeHeight="9" wp14:anchorId="0D59E73E">
                <wp:simplePos x="0" y="0"/>
                <wp:positionH relativeFrom="column">
                  <wp:posOffset>1107440</wp:posOffset>
                </wp:positionH>
                <wp:positionV relativeFrom="paragraph">
                  <wp:posOffset>112395</wp:posOffset>
                </wp:positionV>
                <wp:extent cx="486410" cy="219710"/>
                <wp:effectExtent l="0" t="0" r="47625" b="47625"/>
                <wp:wrapNone/>
                <wp:docPr id="15" name="Выгнутая вверх стрелка 151107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0" cy="219240"/>
                        </a:xfrm>
                        <a:prstGeom prst="curvedDownArrow">
                          <a:avLst>
                            <a:gd name="adj1" fmla="val 47299"/>
                            <a:gd name="adj2" fmla="val 94649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ыгнутая вверх стрелка 15110717" path="l-2147483595,-2147483590l-2147483600,-2147483590l-2147483630,-2147483568l-2147483567,-2147483566l-2147483610,0l-2147483630,-2147483568xel-2147483593,-2147483590l-2147483582,-2147483584l-2147483630,-2147483568xel0,-2147483570l-2147483630,-2147483568l-2147483561,-2147483560l-2147483582,-2147483584l-2147483630,-2147483568l-2147483559,-2147483558l0,-2147483570l-2147483630,-2147483568l-2147483557,-2147483556l-2147483610,0e" fillcolor="#00b050" stroked="t" o:allowincell="f" style="position:absolute;margin-left:87.2pt;margin-top:8.85pt;width:38.2pt;height:17.2pt;mso-wrap-style:none;v-text-anchor:middle" wp14:anchorId="0D59E73E">
                <v:fill o:detectmouseclick="t" type="solid" color2="#ff4faf"/>
                <v:stroke color="black" weight="6480" joinstyle="miter" endcap="flat"/>
                <w10:wrap type="none"/>
              </v:rect>
            </w:pict>
          </mc:Fallback>
        </mc:AlternateConten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/>
        <mc:AlternateContent>
          <mc:Choice Requires="wps">
            <w:drawing>
              <wp:anchor behindDoc="0" distT="3175" distB="0" distL="3175" distR="0" simplePos="0" locked="0" layoutInCell="0" allowOverlap="1" relativeHeight="10" wp14:anchorId="1FF6F02B">
                <wp:simplePos x="0" y="0"/>
                <wp:positionH relativeFrom="column">
                  <wp:posOffset>3511550</wp:posOffset>
                </wp:positionH>
                <wp:positionV relativeFrom="paragraph">
                  <wp:posOffset>1470660</wp:posOffset>
                </wp:positionV>
                <wp:extent cx="476885" cy="201295"/>
                <wp:effectExtent l="0" t="0" r="38100" b="47625"/>
                <wp:wrapNone/>
                <wp:docPr id="16" name="Выгнутая вверх стрелка 151107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80" cy="200520"/>
                        </a:xfrm>
                        <a:prstGeom prst="curvedDownArrow">
                          <a:avLst>
                            <a:gd name="adj1" fmla="val 49382"/>
                            <a:gd name="adj2" fmla="val 98850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ыгнутая вверх стрелка 15110779" path="l-2147483595,-2147483590l-2147483600,-2147483590l-2147483630,-2147483568l-2147483567,-2147483566l-2147483610,0l-2147483630,-2147483568xel-2147483593,-2147483590l-2147483582,-2147483584l-2147483630,-2147483568xel0,-2147483570l-2147483630,-2147483568l-2147483561,-2147483560l-2147483582,-2147483584l-2147483630,-2147483568l-2147483559,-2147483558l0,-2147483570l-2147483630,-2147483568l-2147483557,-2147483556l-2147483610,0e" fillcolor="#00b050" stroked="t" o:allowincell="f" style="position:absolute;margin-left:276.5pt;margin-top:115.8pt;width:37.45pt;height:15.75pt;mso-wrap-style:none;v-text-anchor:middle" wp14:anchorId="1FF6F02B">
                <v:fill o:detectmouseclick="t" type="solid" color2="#ff4faf"/>
                <v:stroke color="black" weight="648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25" wp14:anchorId="246BCF62">
                <wp:simplePos x="0" y="0"/>
                <wp:positionH relativeFrom="column">
                  <wp:posOffset>4634230</wp:posOffset>
                </wp:positionH>
                <wp:positionV relativeFrom="paragraph">
                  <wp:posOffset>551815</wp:posOffset>
                </wp:positionV>
                <wp:extent cx="558165" cy="324485"/>
                <wp:effectExtent l="0" t="0" r="0" b="0"/>
                <wp:wrapNone/>
                <wp:docPr id="1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4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b/>
                                <w:b/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  <w:t>-1%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364.9pt;margin-top:43.45pt;width:43.85pt;height:25.45pt;mso-wrap-style:square;v-text-anchor:top" wp14:anchorId="246BCF62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e21"/>
                        <w:rPr>
                          <w:b/>
                          <w:b/>
                          <w:color w:val="4F6228" w:themeColor="accent3" w:themeShade="80"/>
                        </w:rPr>
                      </w:pPr>
                      <w:r>
                        <w:rPr>
                          <w:b/>
                          <w:color w:val="4F6228" w:themeColor="accent3" w:themeShade="80"/>
                        </w:rPr>
                        <w:t>-1%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0" distL="3175" distR="0" simplePos="0" locked="0" layoutInCell="0" allowOverlap="1" relativeHeight="27" wp14:anchorId="15748CC7">
                <wp:simplePos x="0" y="0"/>
                <wp:positionH relativeFrom="column">
                  <wp:posOffset>2250440</wp:posOffset>
                </wp:positionH>
                <wp:positionV relativeFrom="paragraph">
                  <wp:posOffset>848360</wp:posOffset>
                </wp:positionV>
                <wp:extent cx="486410" cy="219710"/>
                <wp:effectExtent l="0" t="0" r="47625" b="47625"/>
                <wp:wrapNone/>
                <wp:docPr id="19" name="Выгнутая вверх стрел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0" cy="219240"/>
                        </a:xfrm>
                        <a:prstGeom prst="curvedDownArrow">
                          <a:avLst>
                            <a:gd name="adj1" fmla="val 47299"/>
                            <a:gd name="adj2" fmla="val 94649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ыгнутая вверх стрелка 1" path="l-2147483595,-2147483590l-2147483600,-2147483590l-2147483630,-2147483568l-2147483567,-2147483566l-2147483610,0l-2147483630,-2147483568xel-2147483593,-2147483590l-2147483582,-2147483584l-2147483630,-2147483568xel0,-2147483570l-2147483630,-2147483568l-2147483561,-2147483560l-2147483582,-2147483584l-2147483630,-2147483568l-2147483559,-2147483558l0,-2147483570l-2147483630,-2147483568l-2147483557,-2147483556l-2147483610,0e" fillcolor="#00b050" stroked="t" o:allowincell="f" style="position:absolute;margin-left:177.2pt;margin-top:66.8pt;width:38.2pt;height:17.2pt;mso-wrap-style:none;v-text-anchor:middle" wp14:anchorId="15748CC7">
                <v:fill o:detectmouseclick="t" type="solid" color2="#ff4faf"/>
                <v:stroke color="black" weight="648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28" wp14:anchorId="2852563D">
                <wp:simplePos x="0" y="0"/>
                <wp:positionH relativeFrom="column">
                  <wp:posOffset>3331845</wp:posOffset>
                </wp:positionH>
                <wp:positionV relativeFrom="paragraph">
                  <wp:posOffset>1134745</wp:posOffset>
                </wp:positionV>
                <wp:extent cx="896620" cy="266065"/>
                <wp:effectExtent l="0" t="0" r="0" b="1270"/>
                <wp:wrapNone/>
                <wp:docPr id="20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040" cy="26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b/>
                                <w:b/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  <w:t>-1 случай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262.35pt;margin-top:89.35pt;width:70.5pt;height:20.85pt;mso-wrap-style:square;v-text-anchor:top" wp14:anchorId="2852563D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e21"/>
                        <w:rPr>
                          <w:b/>
                          <w:b/>
                          <w:color w:val="4F6228" w:themeColor="accent3" w:themeShade="80"/>
                        </w:rPr>
                      </w:pPr>
                      <w:r>
                        <w:rPr>
                          <w:b/>
                          <w:color w:val="4F6228" w:themeColor="accent3" w:themeShade="80"/>
                        </w:rPr>
                        <w:t>-1 случай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32" wp14:anchorId="44FF1EEE">
                <wp:simplePos x="0" y="0"/>
                <wp:positionH relativeFrom="column">
                  <wp:posOffset>2181225</wp:posOffset>
                </wp:positionH>
                <wp:positionV relativeFrom="paragraph">
                  <wp:posOffset>551815</wp:posOffset>
                </wp:positionV>
                <wp:extent cx="558165" cy="324485"/>
                <wp:effectExtent l="0" t="0" r="0" b="0"/>
                <wp:wrapNone/>
                <wp:docPr id="2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4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b/>
                                <w:b/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  <w:t>-15%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171.75pt;margin-top:43.45pt;width:43.85pt;height:25.45pt;mso-wrap-style:square;v-text-anchor:top" wp14:anchorId="44FF1EEE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e21"/>
                        <w:rPr>
                          <w:b/>
                          <w:b/>
                          <w:color w:val="4F6228" w:themeColor="accent3" w:themeShade="80"/>
                        </w:rPr>
                      </w:pPr>
                      <w:r>
                        <w:rPr>
                          <w:b/>
                          <w:color w:val="4F6228" w:themeColor="accent3" w:themeShade="80"/>
                        </w:rPr>
                        <w:t>-15%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5431790" cy="3008630"/>
            <wp:effectExtent l="0" t="0" r="0" b="0"/>
            <wp:docPr id="2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Обстановка с пожарами и их последствиями</w:t>
      </w:r>
    </w:p>
    <w:p>
      <w:pPr>
        <w:pStyle w:val="Normal"/>
        <w:shd w:val="clear" w:color="auto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сельской местности</w:t>
      </w:r>
    </w:p>
    <w:p>
      <w:pPr>
        <w:pStyle w:val="Normal"/>
        <w:shd w:val="clear" w:color="auto" w:fill="FFFFFF"/>
        <w:ind w:firstLine="709"/>
        <w:jc w:val="both"/>
        <w:rPr>
          <w:sz w:val="10"/>
          <w:szCs w:val="10"/>
          <w:highlight w:val="yellow"/>
        </w:rPr>
      </w:pPr>
      <w:r>
        <w:rPr>
          <w:sz w:val="10"/>
          <w:szCs w:val="10"/>
          <w:highlight w:val="yellow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сельской местности зарегистрировано 3125 пожаров (-30% к АППГ, 2021 - 4478), на которых погибло 69 человек (+17% к АППГ, 2021 - 57), в том числе 1 несовершеннолетний (+ 1 случай к АППГ, 2021 -0), получили травмы 46 человек (-4% к АППГ, 2021 - 48).</w:t>
      </w:r>
      <w:r>
        <w:rPr>
          <w:rFonts w:cs="Times New Roman CYR" w:ascii="Times New Roman CYR" w:hAnsi="Times New Roman CYR"/>
          <w:sz w:val="20"/>
          <w:szCs w:val="20"/>
        </w:rPr>
        <w:t xml:space="preserve"> </w:t>
      </w:r>
    </w:p>
    <w:p>
      <w:pPr>
        <w:pStyle w:val="Normal"/>
        <w:ind w:firstLine="72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4445" distB="4445" distL="4445" distR="4445" simplePos="0" locked="0" layoutInCell="0" allowOverlap="1" relativeHeight="21" wp14:anchorId="22F84690">
                <wp:simplePos x="0" y="0"/>
                <wp:positionH relativeFrom="column">
                  <wp:posOffset>1110615</wp:posOffset>
                </wp:positionH>
                <wp:positionV relativeFrom="paragraph">
                  <wp:posOffset>28575</wp:posOffset>
                </wp:positionV>
                <wp:extent cx="558165" cy="421005"/>
                <wp:effectExtent l="0" t="0" r="0" b="0"/>
                <wp:wrapNone/>
                <wp:docPr id="2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40" cy="420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b/>
                                <w:b/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  <w:t>-30%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87.45pt;margin-top:2.25pt;width:43.85pt;height:33.05pt;mso-wrap-style:square;v-text-anchor:top" wp14:anchorId="22F84690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e21"/>
                        <w:rPr>
                          <w:b/>
                          <w:b/>
                          <w:color w:val="4F6228" w:themeColor="accent3" w:themeShade="80"/>
                        </w:rPr>
                      </w:pPr>
                      <w:r>
                        <w:rPr>
                          <w:b/>
                          <w:color w:val="4F6228" w:themeColor="accent3" w:themeShade="80"/>
                        </w:rPr>
                        <w:t>-30%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20"/>
        <w:rPr>
          <w:b/>
          <w:b/>
          <w:sz w:val="28"/>
          <w:szCs w:val="28"/>
        </w:rPr>
      </w:pPr>
      <w:r>
        <w:rPr/>
        <mc:AlternateContent>
          <mc:Choice Requires="wps">
            <w:drawing>
              <wp:anchor behindDoc="0" distT="3175" distB="0" distL="3175" distR="0" simplePos="0" locked="0" layoutInCell="0" allowOverlap="1" relativeHeight="13" wp14:anchorId="7746AB6D">
                <wp:simplePos x="0" y="0"/>
                <wp:positionH relativeFrom="column">
                  <wp:posOffset>1179195</wp:posOffset>
                </wp:positionH>
                <wp:positionV relativeFrom="paragraph">
                  <wp:posOffset>81280</wp:posOffset>
                </wp:positionV>
                <wp:extent cx="488315" cy="208915"/>
                <wp:effectExtent l="0" t="0" r="45720" b="39370"/>
                <wp:wrapNone/>
                <wp:docPr id="27" name="Выгнутая вверх стрел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0" cy="208440"/>
                        </a:xfrm>
                        <a:prstGeom prst="curvedDownArrow">
                          <a:avLst>
                            <a:gd name="adj1" fmla="val 47299"/>
                            <a:gd name="adj2" fmla="val 94649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ыгнутая вверх стрелка 1" path="l-2147483595,-2147483590l-2147483600,-2147483590l-2147483630,-2147483568l-2147483567,-2147483566l-2147483610,0l-2147483630,-2147483568xel-2147483593,-2147483590l-2147483582,-2147483584l-2147483630,-2147483568xel0,-2147483570l-2147483630,-2147483568l-2147483561,-2147483560l-2147483582,-2147483584l-2147483630,-2147483568l-2147483559,-2147483558l0,-2147483570l-2147483630,-2147483568l-2147483557,-2147483556l-2147483610,0e" fillcolor="#00b050" stroked="t" o:allowincell="f" style="position:absolute;margin-left:92.85pt;margin-top:6.4pt;width:38.35pt;height:16.35pt;mso-wrap-style:none;v-text-anchor:middle" wp14:anchorId="7746AB6D">
                <v:fill o:detectmouseclick="t" type="solid" color2="#ff4faf"/>
                <v:stroke color="black" weight="648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6" wp14:anchorId="1C8D4B24">
                <wp:simplePos x="0" y="0"/>
                <wp:positionH relativeFrom="column">
                  <wp:posOffset>2373630</wp:posOffset>
                </wp:positionH>
                <wp:positionV relativeFrom="paragraph">
                  <wp:posOffset>991870</wp:posOffset>
                </wp:positionV>
                <wp:extent cx="476885" cy="238760"/>
                <wp:effectExtent l="0" t="19050" r="38100" b="28575"/>
                <wp:wrapNone/>
                <wp:docPr id="28" name="Выгнутая вверх стрелка 2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6280" cy="237960"/>
                        </a:xfrm>
                        <a:prstGeom prst="curvedDownArrow">
                          <a:avLst>
                            <a:gd name="adj1" fmla="val 49382"/>
                            <a:gd name="adj2" fmla="val 98850"/>
                            <a:gd name="adj3" fmla="val 33333"/>
                          </a:avLst>
                        </a:prstGeom>
                        <a:solidFill>
                          <a:srgbClr val="c0504d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ыгнутая вверх стрелка 289" path="l-2147483595,-2147483590l-2147483600,-2147483590l-2147483630,-2147483568l-2147483567,-2147483566l-2147483610,0l-2147483630,-2147483568xel-2147483593,-2147483590l-2147483582,-2147483584l-2147483630,-2147483568xel0,-2147483570l-2147483630,-2147483568l-2147483561,-2147483560l-2147483582,-2147483584l-2147483630,-2147483568l-2147483559,-2147483558l0,-2147483570l-2147483630,-2147483568l-2147483557,-2147483556l-2147483610,0e" fillcolor="#c0504d" stroked="t" o:allowincell="f" style="position:absolute;margin-left:186.9pt;margin-top:78.1pt;width:37.45pt;height:18.7pt;flip:y;mso-wrap-style:none;v-text-anchor:middle" wp14:anchorId="1C8D4B24">
                <v:fill o:detectmouseclick="t" type="solid" color2="#3fafb2"/>
                <v:stroke color="black" weight="648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7" wp14:anchorId="6FE7D319">
                <wp:simplePos x="0" y="0"/>
                <wp:positionH relativeFrom="column">
                  <wp:posOffset>3397885</wp:posOffset>
                </wp:positionH>
                <wp:positionV relativeFrom="paragraph">
                  <wp:posOffset>1412240</wp:posOffset>
                </wp:positionV>
                <wp:extent cx="896620" cy="354330"/>
                <wp:effectExtent l="0" t="0" r="0" b="0"/>
                <wp:wrapNone/>
                <wp:docPr id="2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040" cy="35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b/>
                                <w:b/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>+1 случай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267.55pt;margin-top:111.2pt;width:70.5pt;height:27.8pt;mso-wrap-style:square;v-text-anchor:top" wp14:anchorId="6FE7D319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e21"/>
                        <w:rPr>
                          <w:b/>
                          <w:b/>
                          <w:color w:val="943634" w:themeColor="accent2" w:themeShade="bf"/>
                        </w:rPr>
                      </w:pPr>
                      <w:r>
                        <w:rPr>
                          <w:b/>
                          <w:color w:val="943634" w:themeColor="accent2" w:themeShade="bf"/>
                        </w:rPr>
                        <w:t>+1 случай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23" wp14:anchorId="6B220E5C">
                <wp:simplePos x="0" y="0"/>
                <wp:positionH relativeFrom="column">
                  <wp:posOffset>2331085</wp:posOffset>
                </wp:positionH>
                <wp:positionV relativeFrom="paragraph">
                  <wp:posOffset>751840</wp:posOffset>
                </wp:positionV>
                <wp:extent cx="841375" cy="354330"/>
                <wp:effectExtent l="0" t="0" r="0" b="0"/>
                <wp:wrapNone/>
                <wp:docPr id="3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600" cy="35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b/>
                                <w:b/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>+17%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183.55pt;margin-top:59.2pt;width:66.15pt;height:27.8pt;mso-wrap-style:square;v-text-anchor:top" wp14:anchorId="6B220E5C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e21"/>
                        <w:rPr>
                          <w:b/>
                          <w:b/>
                          <w:color w:val="943634" w:themeColor="accent2" w:themeShade="bf"/>
                        </w:rPr>
                      </w:pPr>
                      <w:r>
                        <w:rPr>
                          <w:b/>
                          <w:color w:val="943634" w:themeColor="accent2" w:themeShade="bf"/>
                        </w:rPr>
                        <w:t>+17%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30" wp14:anchorId="35C29572">
                <wp:simplePos x="0" y="0"/>
                <wp:positionH relativeFrom="column">
                  <wp:posOffset>4670425</wp:posOffset>
                </wp:positionH>
                <wp:positionV relativeFrom="paragraph">
                  <wp:posOffset>835025</wp:posOffset>
                </wp:positionV>
                <wp:extent cx="841375" cy="354330"/>
                <wp:effectExtent l="0" t="0" r="0" b="0"/>
                <wp:wrapNone/>
                <wp:docPr id="3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600" cy="35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b/>
                                <w:b/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  <w:t>-4%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367.75pt;margin-top:65.75pt;width:66.15pt;height:27.8pt;mso-wrap-style:square;v-text-anchor:top" wp14:anchorId="35C29572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e21"/>
                        <w:rPr>
                          <w:b/>
                          <w:b/>
                          <w:color w:val="4F6228" w:themeColor="accent3" w:themeShade="80"/>
                        </w:rPr>
                      </w:pPr>
                      <w:r>
                        <w:rPr>
                          <w:b/>
                          <w:color w:val="4F6228" w:themeColor="accent3" w:themeShade="80"/>
                        </w:rPr>
                        <w:t>-4%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0" distL="3175" distR="0" simplePos="0" locked="0" layoutInCell="0" allowOverlap="1" relativeHeight="34" wp14:anchorId="03B34F29">
                <wp:simplePos x="0" y="0"/>
                <wp:positionH relativeFrom="column">
                  <wp:posOffset>4693920</wp:posOffset>
                </wp:positionH>
                <wp:positionV relativeFrom="paragraph">
                  <wp:posOffset>1087755</wp:posOffset>
                </wp:positionV>
                <wp:extent cx="488315" cy="208915"/>
                <wp:effectExtent l="0" t="0" r="45720" b="39370"/>
                <wp:wrapNone/>
                <wp:docPr id="35" name="Выгнутая вверх стрел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0" cy="208440"/>
                        </a:xfrm>
                        <a:prstGeom prst="curvedDownArrow">
                          <a:avLst>
                            <a:gd name="adj1" fmla="val 47299"/>
                            <a:gd name="adj2" fmla="val 94649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ыгнутая вверх стрелка 1" path="l-2147483595,-2147483590l-2147483600,-2147483590l-2147483630,-2147483568l-2147483567,-2147483566l-2147483610,0l-2147483630,-2147483568xel-2147483593,-2147483590l-2147483582,-2147483584l-2147483630,-2147483568xel0,-2147483570l-2147483630,-2147483568l-2147483561,-2147483560l-2147483582,-2147483584l-2147483630,-2147483568l-2147483559,-2147483558l0,-2147483570l-2147483630,-2147483568l-2147483557,-2147483556l-2147483610,0e" fillcolor="#00b050" stroked="t" o:allowincell="f" style="position:absolute;margin-left:369.6pt;margin-top:85.65pt;width:38.35pt;height:16.35pt;mso-wrap-style:none;v-text-anchor:middle" wp14:anchorId="03B34F29">
                <v:fill o:detectmouseclick="t" type="solid" color2="#ff4faf"/>
                <v:stroke color="black" weight="648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5513705" cy="3044825"/>
            <wp:effectExtent l="0" t="0" r="0" b="0"/>
            <wp:docPr id="3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проведенного анализа можно сделать вывод, что количество пожаров в городской местности в разы превышает количество пожаров в селе, и как следствие - количество погибших людей на пожарах в городской местности превышает количество погибших в селе.</w:t>
      </w:r>
    </w:p>
    <w:p>
      <w:pPr>
        <w:pStyle w:val="Normal"/>
        <w:ind w:firstLine="567"/>
        <w:jc w:val="both"/>
        <w:rPr>
          <w:sz w:val="26"/>
          <w:szCs w:val="26"/>
          <w:lang w:eastAsia="zh-CN"/>
        </w:rPr>
      </w:pPr>
      <w:r>
        <w:rPr>
          <w:sz w:val="28"/>
          <w:szCs w:val="28"/>
        </w:rPr>
        <w:t xml:space="preserve">Основная доля погибших приходится на жилой сектор и составляет 89% от общего количества погибших людей на пожарах. Высокий уровень гибели людей связан с уровнем противопожарной защиты зданий, основной прирост погибших в жилье приходится на здания </w:t>
      </w:r>
      <w:r>
        <w:rPr>
          <w:sz w:val="26"/>
          <w:szCs w:val="26"/>
          <w:highlight w:val="white"/>
          <w:lang w:eastAsia="zh-CN"/>
        </w:rPr>
        <w:t>с низкой пожарной устойчивостью (III — V степени огнестойкости), в которых погиб 141 человек или 80% от общего количества погибших, при этом в зданиях со сроком эксплуатации более 40 лет погибло 114 человек (65% от общего количества погибших).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причинами пожаров с гибелью людей в сельской местности являются: неосторожное обращение с огнем, в том числе неосторожность при курении (33 случая), что составляет 48% от общего количества пожаров с гибелью в селе; электротехнические причины (25 случаев), что составляет 36% от общего количества пожаров с гибелью в селе; пожары с гибелью по причинам, связанным с нарушением установки и эксплуатации печей, что составляет 10% (7 случаев).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городской местности основными причинами пожаров с гибелью людей, аналогично сельской местности, являются: причины, связанные с неосторожным обращением с огнем, в том числе при курении, и составляют 51% от общего количества пожаров (54 случая), на втором месте находятся электротехнические причины и составляют 37% (39 случаев), пожары с гибелью по печным причинам составляют 6% (6 случаев).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Значительную сопутствующую роль в гибели людей играет их социальное положение, занятость, а также низкий уровень противопожарных знаний.</w:t>
      </w:r>
      <w:r>
        <w:rPr>
          <w:b/>
          <w:sz w:val="28"/>
          <w:szCs w:val="28"/>
        </w:rPr>
        <w:t xml:space="preserve">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количества пожаров по месяцам 2022 года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(в сравнении с 2021 годом)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6480175" cy="2957195"/>
            <wp:effectExtent l="0" t="0" r="0" b="0"/>
            <wp:docPr id="37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приведенной выше диаграммы можно сделать вывод, что риск возникновения пожаров по месяцам имеет ярко выраженный сезонный характер. В зависимости от сезона года наблюдаются тенденции увеличения или уменьшения значения показателей. Так с наступлением весенне-летнего периода количество пожаров значительно увеличивается, это связано с началом пожароопасного сезона, когда резко возрастает количество пожаров на открытых территориях (сухая трава, тополиный пух, мусор) по причине неосторожного обращения с огнем.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наблюдается тенденция к ежемесячному снижению пожаров в сравнении с аналогичным периодом прошлого года.</w:t>
      </w:r>
    </w:p>
    <w:p>
      <w:pPr>
        <w:pStyle w:val="Normal"/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Распределение числа погибших при пожарах людей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месяцам 2022 года (в сравнении с 2021 годом)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/>
        <w:drawing>
          <wp:inline distT="0" distB="0" distL="0" distR="0">
            <wp:extent cx="6480175" cy="2978150"/>
            <wp:effectExtent l="0" t="0" r="0" b="0"/>
            <wp:docPr id="38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распределения погибших по месяцам можно сделать вывод, что риск возникновения пожаров и, как следствие, гибели на них имеет ярко выраженный сезонный характер. В зависимости от сезона года наблюдаются тенденции к увеличению или уменьшению значения показателей.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января месяца отмечается тенденция снижения количества погибших. Затем в весенний период незначительный рост. Для летнего периода характерно снижение количества погибших людей, а в холодный период года, с сентября по декабрь, наблюдается тенденция роста с максимальными значениями. Так в январе 2022 года произошел резкий скачок гибели по сравнению с АППГ 2021 года и в процентном соотношении составил + 82% (на пожарах погиб 31 человек), а также превысил среднестатистический показатель за 5 лет (25 погибших) на 24%. В последующие месяцы текущего года до мая наблюдается снижение количества погибших людей на пожарах, когда вновь произошел рост по сравнению с АППГ (май 2021). Рост числа погибших в мае связан с более холодной погодой в сравнении с АППГ, на что указывает увеличение количества пожаров с гибелью людей, а именно пожаров, связанных с нарушением правил устройства и эксплуатации электрического оборудования, что составляет 53% от общего числа погибших людей в мае, тогда как в мае 2021 года ни одной гибели по электротехнической причине не допущено. С приходом осени наблюдается постепенный рост количества погибших на пожарах людей с наибольшим значением в ноябре, что обусловлено погодными условиями.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 роста погибших людей на пожарах в сравнении с АППГ не допущено.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погибших приходится на </w:t>
      </w:r>
      <w:r>
        <w:rPr>
          <w:b/>
          <w:sz w:val="28"/>
          <w:szCs w:val="28"/>
        </w:rPr>
        <w:t>неподнадзорные</w:t>
      </w:r>
      <w:r>
        <w:rPr>
          <w:sz w:val="28"/>
          <w:szCs w:val="28"/>
        </w:rPr>
        <w:t xml:space="preserve"> объекты и составляет 97% от общего количества погибших на пожарах людей (169 человек).</w:t>
      </w:r>
    </w:p>
    <w:p>
      <w:pPr>
        <w:pStyle w:val="Normal"/>
        <w:jc w:val="center"/>
        <w:rPr>
          <w:b/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Распределение количества пожаров в </w:t>
      </w:r>
      <w:r>
        <w:rPr>
          <w:b/>
          <w:iCs/>
          <w:sz w:val="28"/>
          <w:szCs w:val="28"/>
        </w:rPr>
        <w:t>2022 году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основным объектам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  <w:drawing>
          <wp:inline distT="0" distB="0" distL="0" distR="0">
            <wp:extent cx="6480175" cy="3479165"/>
            <wp:effectExtent l="0" t="0" r="0" b="0"/>
            <wp:docPr id="39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доля пожаров по объектам их возникновения приходится на открытые территории и составляет 55% от общего количества пожаров (5140 случаев),</w:t>
      </w:r>
      <w:r>
        <w:rPr>
          <w:i/>
          <w:sz w:val="28"/>
          <w:szCs w:val="28"/>
        </w:rPr>
        <w:t xml:space="preserve"> на которых погибло 2 человека, травмировано 4 человека,</w:t>
      </w:r>
      <w:r>
        <w:rPr>
          <w:sz w:val="28"/>
          <w:szCs w:val="28"/>
        </w:rPr>
        <w:t xml:space="preserve"> из них: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природные пожары </w:t>
      </w:r>
      <w:r>
        <w:rPr>
          <w:i/>
          <w:sz w:val="28"/>
          <w:szCs w:val="28"/>
        </w:rPr>
        <w:t>(горение сухой травянистой растительности, тополиного пуха, камыша, торфа независимо от места их возникновения) -</w:t>
      </w:r>
      <w:r>
        <w:rPr>
          <w:sz w:val="28"/>
          <w:szCs w:val="28"/>
        </w:rPr>
        <w:t xml:space="preserve"> 2730 пожаров, 29% от общего количества пожаров (-53% к АППГ, 2021-5760 пожаров), </w:t>
      </w:r>
      <w:r>
        <w:rPr>
          <w:i/>
          <w:sz w:val="28"/>
          <w:szCs w:val="28"/>
        </w:rPr>
        <w:t>на которых травмировано 2 человека</w:t>
      </w:r>
      <w:r>
        <w:rPr>
          <w:sz w:val="28"/>
          <w:szCs w:val="28"/>
        </w:rPr>
        <w:t>;</w:t>
      </w:r>
    </w:p>
    <w:p>
      <w:pPr>
        <w:pStyle w:val="Normal"/>
        <w:ind w:firstLine="540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- мусор, расположенные на открытой территории – 2268 пожаров, 24% общего количества пожаров (-41% к АППГ, 2021 – 3823 пожара), на которых</w:t>
      </w:r>
      <w:r>
        <w:rPr>
          <w:i/>
          <w:sz w:val="28"/>
          <w:szCs w:val="28"/>
        </w:rPr>
        <w:t xml:space="preserve"> травмирован 1 человек;</w:t>
      </w:r>
    </w:p>
    <w:p>
      <w:pPr>
        <w:pStyle w:val="Normal"/>
        <w:ind w:firstLine="54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иные пожары на открытой территории</w:t>
      </w:r>
      <w:r>
        <w:rPr>
          <w:i/>
          <w:sz w:val="28"/>
          <w:szCs w:val="28"/>
        </w:rPr>
        <w:t xml:space="preserve"> (бытовка, вагончик вне территории населенного пункта, сено и т.п.)-</w:t>
      </w:r>
      <w:r>
        <w:rPr>
          <w:sz w:val="28"/>
          <w:szCs w:val="28"/>
        </w:rPr>
        <w:t>142 пожара,</w:t>
      </w:r>
      <w:r>
        <w:rPr/>
        <w:t xml:space="preserve"> </w:t>
      </w:r>
      <w:r>
        <w:rPr>
          <w:sz w:val="28"/>
          <w:szCs w:val="28"/>
        </w:rPr>
        <w:t xml:space="preserve">на которых </w:t>
      </w:r>
      <w:r>
        <w:rPr>
          <w:i/>
          <w:sz w:val="28"/>
          <w:szCs w:val="28"/>
        </w:rPr>
        <w:t>погибло 2 человека, травмирован 1 человек.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Пожары в жилом секторе занимают второе место и составляют 32% от общего количества пожаров (2950 случаев, -12% к АППГ, 2021 - 3343 пожара), и лидирующее место по количеству погибших и травмированных людей, </w:t>
      </w:r>
      <w:r>
        <w:rPr>
          <w:i/>
          <w:sz w:val="28"/>
          <w:szCs w:val="28"/>
        </w:rPr>
        <w:t>погибло 156 человек (-2,5% к АППГ, 2021 - 160 человек), в т.ч. 4 ребенка (на уровне АППГ, 2021 - 4 ребенка), травмы различной степени тяжести получили 148 человек (-4% к АППГ, 2021 - 154 человека), в т.ч. 15 детей (+67% к АППГ, 2021 - 9 детей)</w:t>
      </w:r>
      <w:r>
        <w:rPr>
          <w:sz w:val="28"/>
          <w:szCs w:val="28"/>
        </w:rPr>
        <w:t>, из них:</w:t>
      </w:r>
    </w:p>
    <w:p>
      <w:pPr>
        <w:pStyle w:val="Normal"/>
        <w:ind w:firstLine="540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- здания жилого назначения – 1704 пожара (18% от общего количества пожаров), </w:t>
      </w:r>
      <w:r>
        <w:rPr>
          <w:i/>
          <w:sz w:val="28"/>
          <w:szCs w:val="28"/>
        </w:rPr>
        <w:t>на которых погибло 147 человек, в т.ч. 4 ребенка, травмировано 129 человек, в т.ч. 14 детей;</w:t>
      </w:r>
    </w:p>
    <w:p>
      <w:pPr>
        <w:pStyle w:val="Normal"/>
        <w:ind w:firstLine="540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- надворные постройки в жилом секторе и возгорание мусора на территории домовладения – 1246 пожаров (13% от общего количества пожаров),</w:t>
      </w:r>
      <w:r>
        <w:rPr>
          <w:i/>
          <w:sz w:val="28"/>
          <w:szCs w:val="28"/>
        </w:rPr>
        <w:t xml:space="preserve"> на которых погибло 9 человек, травмировано 19 человек, в т.ч. 1 ребенок.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жилом секторе </w:t>
      </w:r>
      <w:r>
        <w:rPr>
          <w:i/>
          <w:sz w:val="28"/>
          <w:szCs w:val="28"/>
        </w:rPr>
        <w:t>(здания жилого назначения и надворные постройки)</w:t>
      </w:r>
      <w:r>
        <w:rPr>
          <w:sz w:val="28"/>
          <w:szCs w:val="28"/>
        </w:rPr>
        <w:t xml:space="preserve"> погибло 89% от общего количества погибших на пожарах и произошло 100% случаев гибели несовершеннолетних.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объективных причин, обусловливающих крайнюю напряжённость обстановки с пожарами в жилом секторе следует отнести высокую степень изношенности жилого фонда, а именно конструкций зданий, отсутствие возможности поддержания противопожарного состояния зданий, низкая обеспеченность зданий средствами обнаружения и оповещения о пожаре, а также средствами пожаротушения.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Насыщение квартир и жилых домов горючими предметами и разнообразной техникой увеличивает потенциальную возможность возникновения пожара, а также делает самый незначительный пожар опасным для жизни.</w:t>
      </w:r>
    </w:p>
    <w:p>
      <w:pPr>
        <w:pStyle w:val="Normal"/>
        <w:suppressAutoHyphens w:val="true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Пожары на социально-значимых объектах - 15 пожаров, </w:t>
      </w:r>
      <w:r>
        <w:rPr>
          <w:i/>
          <w:sz w:val="28"/>
          <w:szCs w:val="28"/>
          <w:lang w:eastAsia="zh-CN"/>
        </w:rPr>
        <w:t xml:space="preserve">погибших нет, травмирован 1 человек </w:t>
      </w:r>
      <w:r>
        <w:rPr>
          <w:sz w:val="28"/>
          <w:szCs w:val="28"/>
          <w:lang w:eastAsia="zh-CN"/>
        </w:rPr>
        <w:t>(- 21% к АППГ , 2021 – 19 пожаров), из них:</w:t>
      </w:r>
    </w:p>
    <w:p>
      <w:pPr>
        <w:pStyle w:val="Normal"/>
        <w:suppressAutoHyphens w:val="true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•</w:t>
      </w:r>
      <w:r>
        <w:rPr>
          <w:sz w:val="28"/>
          <w:szCs w:val="28"/>
          <w:lang w:eastAsia="zh-CN"/>
        </w:rPr>
        <w:tab/>
        <w:t xml:space="preserve"> в зданиях учебно-воспитательного назначения: 12 пожаров (+5 случаев к АППГ, 2021 –7 пожаров);</w:t>
      </w:r>
    </w:p>
    <w:p>
      <w:pPr>
        <w:pStyle w:val="Normal"/>
        <w:suppressAutoHyphens w:val="true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•</w:t>
      </w:r>
      <w:r>
        <w:rPr>
          <w:sz w:val="28"/>
          <w:szCs w:val="28"/>
          <w:lang w:eastAsia="zh-CN"/>
        </w:rPr>
        <w:tab/>
        <w:t xml:space="preserve"> в зданиях здравоохранения: 3 пожара, на котором травмирован 1 человек (-75% к АППГ, 2021- 12 пожаров).</w:t>
      </w:r>
    </w:p>
    <w:p>
      <w:pPr>
        <w:pStyle w:val="Normal"/>
        <w:suppressAutoHyphens w:val="true"/>
        <w:ind w:firstLine="540"/>
        <w:jc w:val="both"/>
        <w:rPr>
          <w:i/>
          <w:i/>
          <w:sz w:val="28"/>
          <w:szCs w:val="28"/>
        </w:rPr>
      </w:pPr>
      <w:r>
        <w:rPr>
          <w:sz w:val="28"/>
          <w:szCs w:val="28"/>
          <w:lang w:eastAsia="zh-CN"/>
        </w:rPr>
        <w:t>Объекты транспорта и транспортной инфраструктуры – 386 пожаров,</w:t>
      </w:r>
      <w:r>
        <w:rPr>
          <w:sz w:val="28"/>
          <w:szCs w:val="28"/>
        </w:rPr>
        <w:t xml:space="preserve"> 4% от общего количества пожаров (-14% к АППГ, 2021 – 448 пожаров), на которых </w:t>
      </w:r>
      <w:r>
        <w:rPr>
          <w:i/>
          <w:sz w:val="28"/>
          <w:szCs w:val="28"/>
        </w:rPr>
        <w:t>погибло 4 человека, травмировано 20 человек.</w:t>
      </w:r>
    </w:p>
    <w:p>
      <w:pPr>
        <w:pStyle w:val="Normal"/>
        <w:suppressAutoHyphens w:val="tru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Промышленные объекты – 120 пожаров, 1% от общего количества пожаров (+0,8% к АППГ, 2021 – 119 пожаров), </w:t>
      </w:r>
      <w:r>
        <w:rPr>
          <w:i/>
          <w:sz w:val="28"/>
          <w:szCs w:val="28"/>
        </w:rPr>
        <w:t>на которых погибло 3 человека, травмировано 5 человек.</w:t>
      </w:r>
      <w:r>
        <w:rPr>
          <w:sz w:val="28"/>
          <w:szCs w:val="28"/>
        </w:rPr>
        <w:t xml:space="preserve"> </w:t>
      </w:r>
    </w:p>
    <w:p>
      <w:pPr>
        <w:pStyle w:val="Normal"/>
        <w:suppressAutoHyphens w:val="true"/>
        <w:ind w:firstLine="540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Объекты торгового назначения и общественного питания –97 пожаров 1% от общего количества пожаров (+3% к АППГ, 2021 – 94 пожара), </w:t>
      </w:r>
      <w:r>
        <w:rPr>
          <w:i/>
          <w:sz w:val="28"/>
          <w:szCs w:val="28"/>
        </w:rPr>
        <w:t>погибших нет, травмировано 4 человека.</w:t>
      </w:r>
    </w:p>
    <w:p>
      <w:pPr>
        <w:pStyle w:val="Normal"/>
        <w:suppressAutoHyphens w:val="true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Иные объекты пожаров – 618 пожаров, </w:t>
      </w:r>
      <w:r>
        <w:rPr>
          <w:sz w:val="28"/>
          <w:szCs w:val="28"/>
        </w:rPr>
        <w:t xml:space="preserve">7% от общего количества пожаров, </w:t>
      </w:r>
      <w:r>
        <w:rPr>
          <w:i/>
          <w:sz w:val="28"/>
          <w:szCs w:val="28"/>
        </w:rPr>
        <w:t>на которых погибло 10 человек, травмирован 21 человек.</w:t>
      </w:r>
      <w:r>
        <w:rPr>
          <w:sz w:val="28"/>
          <w:szCs w:val="28"/>
        </w:rPr>
        <w:t xml:space="preserve"> </w:t>
      </w:r>
    </w:p>
    <w:p>
      <w:pPr>
        <w:pStyle w:val="Normal"/>
        <w:suppressAutoHyphens w:val="tru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Распределение количества пожаров по основным причинам в 2022 году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6480175" cy="3061335"/>
            <wp:effectExtent l="0" t="0" r="0" b="0"/>
            <wp:docPr id="40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Основными причинами пожаров в 2022 году явились: </w:t>
      </w:r>
    </w:p>
    <w:p>
      <w:pPr>
        <w:pStyle w:val="Normal"/>
        <w:suppressAutoHyphens w:val="true"/>
        <w:ind w:firstLine="709"/>
        <w:jc w:val="both"/>
        <w:rPr>
          <w:i/>
          <w:i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неосторожное обращение с огнем: 6431 пожар (69% от общего количества происшедших пожаров) уменьшение на 43% к АППГ, 2021 - 11209 пожаров; </w:t>
      </w:r>
      <w:r>
        <w:rPr>
          <w:i/>
          <w:sz w:val="28"/>
          <w:szCs w:val="28"/>
          <w:lang w:eastAsia="zh-CN"/>
        </w:rPr>
        <w:t>по данной причине погибло 87 человек, в том числе 1 ребенок, травмирован 87 человек, в том числе 13 детей;</w:t>
      </w:r>
    </w:p>
    <w:p>
      <w:pPr>
        <w:pStyle w:val="Normal"/>
        <w:suppressAutoHyphens w:val="true"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- нарушение правил устройства и эксплуатации электрооборудования: 1632 пожара (17% от общего количества происшедших пожаров) -4% к АППГ, 2021 - 1698 пожаров</w:t>
      </w:r>
      <w:r>
        <w:rPr>
          <w:sz w:val="28"/>
          <w:szCs w:val="20"/>
          <w:lang w:eastAsia="zh-CN"/>
        </w:rPr>
        <w:t xml:space="preserve">, </w:t>
      </w:r>
      <w:r>
        <w:rPr>
          <w:i/>
          <w:sz w:val="28"/>
          <w:szCs w:val="28"/>
          <w:lang w:eastAsia="zh-CN"/>
        </w:rPr>
        <w:t>по данной причине погибло 64 человека, в том числе 3 ребенка, травмировано 77 человек, в том числе 6 детей;</w:t>
      </w:r>
    </w:p>
    <w:p>
      <w:pPr>
        <w:pStyle w:val="Normal"/>
        <w:suppressAutoHyphens w:val="true"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- нарушение правил устройства и эксплуатации отопительных печей: 624 пожара (7% от общего количества происшедших пожаров) - 13% к АППГ, 2021 – 722 пожара, </w:t>
      </w:r>
      <w:r>
        <w:rPr>
          <w:i/>
          <w:sz w:val="28"/>
          <w:szCs w:val="28"/>
          <w:lang w:eastAsia="zh-CN"/>
        </w:rPr>
        <w:t xml:space="preserve">по данной причине погибло 13 человек, травмировано 13 человек, в том числе 1 ребенок; </w:t>
      </w:r>
    </w:p>
    <w:p>
      <w:pPr>
        <w:pStyle w:val="Normal"/>
        <w:suppressAutoHyphens w:val="true"/>
        <w:ind w:firstLine="709"/>
        <w:jc w:val="both"/>
        <w:rPr>
          <w:sz w:val="28"/>
          <w:szCs w:val="20"/>
          <w:lang w:eastAsia="zh-CN"/>
        </w:rPr>
      </w:pPr>
      <w:r>
        <w:rPr>
          <w:i/>
          <w:sz w:val="28"/>
          <w:szCs w:val="28"/>
          <w:lang w:eastAsia="zh-CN"/>
        </w:rPr>
        <w:t xml:space="preserve">- </w:t>
      </w:r>
      <w:r>
        <w:rPr>
          <w:sz w:val="28"/>
          <w:szCs w:val="28"/>
          <w:lang w:eastAsia="zh-CN"/>
        </w:rPr>
        <w:t xml:space="preserve">нарушение правил устройства и эксплуатации транспортных средств: 196 пожаров (2% от общего количества происшедших пожаров) - 2% к АППГ, 2021 - 200 пожаров, </w:t>
      </w:r>
      <w:r>
        <w:rPr>
          <w:i/>
          <w:sz w:val="28"/>
          <w:szCs w:val="28"/>
          <w:lang w:eastAsia="zh-CN"/>
        </w:rPr>
        <w:t>по данной причине</w:t>
      </w:r>
      <w:r>
        <w:rPr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eastAsia="zh-CN"/>
        </w:rPr>
        <w:t>погиб 1 человек, травмированы 8 человек</w:t>
      </w:r>
      <w:r>
        <w:rPr>
          <w:sz w:val="28"/>
          <w:szCs w:val="28"/>
          <w:lang w:eastAsia="zh-CN"/>
        </w:rPr>
        <w:t>;</w:t>
      </w:r>
    </w:p>
    <w:p>
      <w:pPr>
        <w:pStyle w:val="Normal"/>
        <w:suppressAutoHyphens w:val="true"/>
        <w:ind w:firstLine="709"/>
        <w:jc w:val="both"/>
        <w:rPr>
          <w:sz w:val="28"/>
          <w:szCs w:val="20"/>
          <w:lang w:eastAsia="zh-CN"/>
        </w:rPr>
      </w:pPr>
      <w:r>
        <w:rPr>
          <w:i/>
          <w:sz w:val="28"/>
          <w:szCs w:val="28"/>
          <w:lang w:eastAsia="zh-CN"/>
        </w:rPr>
        <w:t xml:space="preserve">- </w:t>
      </w:r>
      <w:r>
        <w:rPr>
          <w:sz w:val="28"/>
          <w:szCs w:val="28"/>
          <w:lang w:eastAsia="zh-CN"/>
        </w:rPr>
        <w:t xml:space="preserve">прочие причины: 443 пожара (5% от общего количества происшедших пожаров) </w:t>
      </w:r>
      <w:r>
        <w:rPr>
          <w:i/>
          <w:sz w:val="28"/>
          <w:szCs w:val="28"/>
          <w:lang w:eastAsia="zh-CN"/>
        </w:rPr>
        <w:t xml:space="preserve">по данной причине погибло 10 человек, травмировано 18 человек.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частыми причинами пожаров, при которых зарегистрирована гибель людей за 2022 год, послужили: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неосторожное обращение с огнем: 87 человек, в том числе 1 ребенок (-22% к АППГ, в 2021 – 112 человек), что составило 50% от общего количества погибших при пожарах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электротехнические причины: 64 человека, в том числе 3 детей (+15% к АППГ, в 2021 - 54 человека), что составило 36% от общего количества погибших при пожарах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печные: 13 человек (+6 случаев к АППГ, 2021 - 7 человек), что составило 7% от общего количества погибших при пожарах людей.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пожаров, как и за последние 3 года, неизменно остается неосторожное обращение с огнем. Так с апреля текущего года (начала пожароопасного периода) количество пожаров по данной причине возросло на 30%, одновременно с увеличением пожаров на открытой территории (мусор, трава и т.п.).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Пожары по данной причине возникают исключительно по вине людей, халатно относящихся к правилам пожарной безопасности. К данной причине относятся: неосторожность в обращении с открытым огнем (свечи, спички, либо зажигалки), непотушенный окурок, неосторожность в обращении с горючими или легковоспламеняющимися жидкостями, неосторожность при приготовлении пищи. Пожар может возникнуть от костра, либо искр, которые разносит ветер и прочее.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пожара по причине неосторожного обращения с огнем невозможно предугадать и предотвратить.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количества погибших и травмированных людей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дням недели в 2022 году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6480175" cy="3043555"/>
            <wp:effectExtent l="0" t="0" r="0" b="0"/>
            <wp:docPr id="4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дням недели: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наибольшее количество людей погибло в понедельник - 36 человек, наименьшее в среду - 16 человек;</w:t>
      </w:r>
    </w:p>
    <w:p>
      <w:pPr>
        <w:pStyle w:val="Normal"/>
        <w:ind w:firstLine="720"/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>- наибольшее количество травмированных человек приходится на субботу – 48 человек, наименьшее во вторник– 22 человека</w:t>
      </w:r>
      <w:r>
        <w:rPr>
          <w:color w:val="00B0F0"/>
          <w:sz w:val="28"/>
          <w:szCs w:val="28"/>
        </w:rPr>
        <w:t>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center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Распределение числа погибших по времени суток в </w:t>
      </w:r>
      <w:r>
        <w:rPr>
          <w:b/>
          <w:iCs/>
          <w:sz w:val="28"/>
          <w:szCs w:val="28"/>
        </w:rPr>
        <w:t>2022 году</w:t>
      </w:r>
      <w:r>
        <w:rPr>
          <w:iCs/>
          <w:sz w:val="28"/>
          <w:szCs w:val="28"/>
        </w:rPr>
        <w:t xml:space="preserve"> </w:t>
      </w:r>
    </w:p>
    <w:p>
      <w:pPr>
        <w:pStyle w:val="Normal"/>
        <w:jc w:val="center"/>
        <w:rPr>
          <w:iCs/>
          <w:color w:val="FF0000"/>
          <w:sz w:val="28"/>
          <w:szCs w:val="28"/>
        </w:rPr>
      </w:pPr>
      <w:r>
        <w:rPr/>
        <w:drawing>
          <wp:inline distT="0" distB="0" distL="0" distR="0">
            <wp:extent cx="6480175" cy="3061335"/>
            <wp:effectExtent l="0" t="0" r="0" b="0"/>
            <wp:docPr id="4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 2022 году гибель людей на пожарах составила: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ночное время с 22-00 до 06-00 часов - 86 человек (49% от общего количества погибших);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утреннее время с 06-00 до 10-00 часов - 24 человека (14% от общего количества погибших);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дневное время с 10-00 до 16-00 часов - 34 человека (19% от общего количества погибших);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вечернее время с 16-00 до 22-00 часов -31 человек (18% от общего количества погибших).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этих двух диаграмм следует, что основное число погибших людей приходится на выходные дни и ночные часы, это обусловлено тем, что в указанное время пожары происходят в условиях неочевидности, зачастую такой пожар невозможно сразу обнаружить, а сам виновник пожара находится в невменяемом состоянии.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Рост числа погибших людей в выходные дни связан с тем, что большая часть населения имеет 5-ти дневную рабочую неделю с понедельника по пятницу и 2 выходных дня. Находясь на «отдыхе», граждане нередко употребляют спиртные напитки, что приводит к увеличению количества пожаров, так как люди, находящиеся в алкогольном опьянении не всегда могут контролировать свои поступки и соблюдать правила пожарной безопасности.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Лишь 31% людей (55 случаев) погибло в рабочее время с 8.00 часов утра до 18.00 вечера.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Распределение гибели людей по социальному положению в </w:t>
      </w:r>
      <w:r>
        <w:rPr>
          <w:b/>
          <w:iCs/>
        </w:rPr>
        <w:t xml:space="preserve">2022 </w:t>
      </w:r>
      <w:r>
        <w:rPr>
          <w:b/>
          <w:iCs/>
          <w:sz w:val="28"/>
          <w:szCs w:val="28"/>
        </w:rPr>
        <w:t>году</w:t>
      </w:r>
    </w:p>
    <w:p>
      <w:pPr>
        <w:pStyle w:val="Normal"/>
        <w:jc w:val="center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ind w:firstLine="540"/>
        <w:rPr>
          <w:b/>
          <w:b/>
          <w:iCs/>
          <w:sz w:val="28"/>
          <w:szCs w:val="28"/>
        </w:rPr>
      </w:pPr>
      <w:r>
        <w:rPr/>
        <w:drawing>
          <wp:inline distT="0" distB="0" distL="0" distR="0">
            <wp:extent cx="6480175" cy="3134995"/>
            <wp:effectExtent l="0" t="0" r="0" b="0"/>
            <wp:docPr id="4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pStyle w:val="Normal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</w:t>
      </w:r>
    </w:p>
    <w:p>
      <w:pPr>
        <w:pStyle w:val="Normal"/>
        <w:tabs>
          <w:tab w:val="clear" w:pos="708"/>
          <w:tab w:val="left" w:pos="836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статистических данных показывает, что наибольшее число погибших в 2022 году это:</w:t>
      </w:r>
    </w:p>
    <w:p>
      <w:pPr>
        <w:pStyle w:val="Normal"/>
        <w:tabs>
          <w:tab w:val="clear" w:pos="708"/>
          <w:tab w:val="left" w:pos="836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люди пенсионного возраста – 67 человек (38% от общего количества); </w:t>
      </w:r>
    </w:p>
    <w:p>
      <w:pPr>
        <w:pStyle w:val="Normal"/>
        <w:tabs>
          <w:tab w:val="clear" w:pos="708"/>
          <w:tab w:val="left" w:pos="836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безработные граждане – 46 человек (26% от общего количества); </w:t>
      </w:r>
    </w:p>
    <w:p>
      <w:pPr>
        <w:pStyle w:val="Normal"/>
        <w:tabs>
          <w:tab w:val="clear" w:pos="708"/>
          <w:tab w:val="left" w:pos="836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работающие граждане – 24 человека (14% от общего количества);</w:t>
      </w:r>
    </w:p>
    <w:p>
      <w:pPr>
        <w:pStyle w:val="Normal"/>
        <w:tabs>
          <w:tab w:val="clear" w:pos="708"/>
          <w:tab w:val="left" w:pos="836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инвалиды – 10 человек (6% от общего количества);</w:t>
      </w:r>
    </w:p>
    <w:p>
      <w:pPr>
        <w:pStyle w:val="Normal"/>
        <w:tabs>
          <w:tab w:val="clear" w:pos="708"/>
          <w:tab w:val="left" w:pos="836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– 4 человека (2% от общего количества); </w:t>
      </w:r>
    </w:p>
    <w:p>
      <w:pPr>
        <w:pStyle w:val="Normal"/>
        <w:tabs>
          <w:tab w:val="clear" w:pos="708"/>
          <w:tab w:val="left" w:pos="836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БОМЖ – 8 человек (5% от общего количества);</w:t>
      </w:r>
    </w:p>
    <w:p>
      <w:pPr>
        <w:pStyle w:val="Normal"/>
        <w:tabs>
          <w:tab w:val="clear" w:pos="708"/>
          <w:tab w:val="left" w:pos="836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– 16 человек (9% от общего количества).</w:t>
      </w:r>
    </w:p>
    <w:p>
      <w:pPr>
        <w:pStyle w:val="Normal"/>
        <w:tabs>
          <w:tab w:val="clear" w:pos="708"/>
          <w:tab w:val="left" w:pos="836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2022 года из 175 погибших при пожарах мужчин - 118, женщин – 57.</w:t>
      </w:r>
    </w:p>
    <w:p>
      <w:pPr>
        <w:pStyle w:val="Normal"/>
        <w:tabs>
          <w:tab w:val="clear" w:pos="708"/>
          <w:tab w:val="left" w:pos="836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долю 67% погибших на пожарах составляют мужское население и лишь 33% - женское, за последние годы это соотношение остается неизменным. Это объясняется тем, что у мужчин выше уровень употребления алкоголя, что способствует увеличению риска погибнуть на пожаре. </w:t>
      </w:r>
    </w:p>
    <w:p>
      <w:pPr>
        <w:pStyle w:val="Normal"/>
        <w:tabs>
          <w:tab w:val="clear" w:pos="708"/>
          <w:tab w:val="left" w:pos="836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Самой «опасной» категорией погибших граждан являются безработные граждане, пенсионеры и инвалиды, они являются социально незащищенными слоями населения и составляют 70% от общего количества погибших. 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Гибель людей в данной категории неудивительна, так как работающие люди меньше находятся дома и злоупотребляют алкоголем в меньшей степени.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Распределение погибших при пожарах людей по возрасту в </w:t>
      </w:r>
      <w:r>
        <w:rPr>
          <w:b/>
          <w:iCs/>
          <w:sz w:val="28"/>
          <w:szCs w:val="28"/>
        </w:rPr>
        <w:t>2022 году</w:t>
      </w:r>
    </w:p>
    <w:p>
      <w:pPr>
        <w:pStyle w:val="Normal"/>
        <w:jc w:val="center"/>
        <w:rPr>
          <w:b/>
          <w:b/>
          <w:iCs/>
          <w:sz w:val="28"/>
          <w:szCs w:val="28"/>
        </w:rPr>
      </w:pPr>
      <w:r>
        <w:rPr/>
        <w:drawing>
          <wp:inline distT="0" distB="0" distL="0" distR="0">
            <wp:extent cx="6480175" cy="3131185"/>
            <wp:effectExtent l="0" t="0" r="0" b="0"/>
            <wp:docPr id="4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Normal"/>
        <w:ind w:firstLine="708"/>
        <w:rPr>
          <w:b/>
          <w:b/>
          <w:iCs/>
          <w:sz w:val="28"/>
          <w:szCs w:val="28"/>
        </w:rPr>
      </w:pPr>
      <w:r>
        <w:rPr>
          <w:sz w:val="28"/>
          <w:szCs w:val="28"/>
        </w:rPr>
        <w:t>За 2022 год из 175 погибших на пожарах людей: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категории старше 61 года - 73 человека (42% от общего количества погибших);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категории от 46 до 60 лет- 60 человек (35% от общего количества погибших);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категории от 36 до 45 лет- 20 человек (12% от общего количества погибших);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категории от 26 до 35 лет- 10 человек (6% от общего количества погибших);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категории от 18 до 25 лет- 5 человек (3% от общего количества погибших);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категории от 7 до 17 лет – 2 человека (1% от общего количества погибших);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категории от 0 до 6 лет – 2 человека (1% от общего количества погибших).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Основная доля погибших людей приходится на возрастную категорию от 46 лет и выше, что составляет 76% от общего числа погибших людей на пожарах. Что подтверждается проведенным ранее наблюдением относительно социального положения погибших, где наибольшему риску подвержена группа безработных и людей пенсионного возраста. </w:t>
      </w:r>
    </w:p>
    <w:p>
      <w:pPr>
        <w:pStyle w:val="Normal"/>
        <w:ind w:firstLine="709"/>
        <w:jc w:val="both"/>
        <w:rPr>
          <w:rFonts w:eastAsia="Arial Unicode MS"/>
          <w:sz w:val="28"/>
          <w:szCs w:val="28"/>
          <w:shd w:fill="FFFFFF" w:val="clear"/>
        </w:rPr>
      </w:pPr>
      <w:r>
        <w:rPr>
          <w:rFonts w:eastAsia="Arial Unicode MS"/>
          <w:sz w:val="28"/>
          <w:szCs w:val="28"/>
          <w:shd w:fill="FFFFFF" w:val="clear"/>
        </w:rPr>
        <w:t>Особое беспокойство вызывает тот факт, что с начала 2022 года на территории Челябинской области произошло 4 пожара с гибелью детей. В 100% случаев пожары произошли в жилом секторе.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shd w:fill="FFFFFF" w:val="clear"/>
          <w:lang w:eastAsia="zh-CN"/>
        </w:rPr>
        <w:t>Причиной пожаров с гибелью детей явился аварийный режим работы электрической сети (оборудования)</w:t>
      </w:r>
      <w:r>
        <w:rPr>
          <w:sz w:val="28"/>
          <w:szCs w:val="28"/>
          <w:shd w:fill="FFFFFF" w:val="clear"/>
          <w:lang w:eastAsia="zh-CN"/>
        </w:rPr>
        <w:t xml:space="preserve"> – 3 случая и детская шалость с огнем – 1 случай.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>Основной причиной, способствующей гибели детей на пожарах, является халатное отношение родителей к своим обязанностям и оставление детей без присмотра, а также нахождение родителей в алкогольном опьянении. Семьи погибших детей состоят на учете в органах социальной защиты</w:t>
      </w:r>
      <w:r>
        <w:rPr>
          <w:sz w:val="28"/>
          <w:szCs w:val="28"/>
          <w:lang w:eastAsia="zh-CN"/>
        </w:rPr>
        <w:t>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>По 3-м случаям пожаров с детской гибелью следственными органами возбуждены уголовные дела по ст. 109 УК РФ «Причинение смерти по неосторожности».</w:t>
      </w:r>
    </w:p>
    <w:p>
      <w:pPr>
        <w:pStyle w:val="Normal"/>
        <w:jc w:val="center"/>
        <w:rPr>
          <w:b/>
          <w:b/>
          <w:iCs/>
          <w:sz w:val="16"/>
          <w:szCs w:val="16"/>
        </w:rPr>
      </w:pPr>
      <w:r>
        <w:rPr>
          <w:b/>
          <w:iCs/>
          <w:sz w:val="16"/>
          <w:szCs w:val="16"/>
        </w:rPr>
      </w:r>
    </w:p>
    <w:p>
      <w:pPr>
        <w:pStyle w:val="Style19"/>
        <w:tabs>
          <w:tab w:val="clear" w:pos="708"/>
          <w:tab w:val="left" w:pos="1005" w:leader="none"/>
        </w:tabs>
        <w:rPr>
          <w:iCs w:val="false"/>
          <w:spacing w:val="0"/>
          <w:szCs w:val="28"/>
        </w:rPr>
      </w:pPr>
      <w:r>
        <w:rPr>
          <w:szCs w:val="28"/>
        </w:rPr>
        <w:t xml:space="preserve">Условия, способствовавшие гибели людей  при пожарах в </w:t>
      </w:r>
      <w:r>
        <w:rPr>
          <w:iCs w:val="false"/>
          <w:spacing w:val="0"/>
          <w:szCs w:val="28"/>
        </w:rPr>
        <w:t>2022 году</w:t>
      </w:r>
      <w:bookmarkStart w:id="0" w:name="_GoBack"/>
      <w:bookmarkEnd w:id="0"/>
    </w:p>
    <w:p>
      <w:pPr>
        <w:pStyle w:val="Style19"/>
        <w:tabs>
          <w:tab w:val="clear" w:pos="708"/>
          <w:tab w:val="left" w:pos="1005" w:leader="none"/>
        </w:tabs>
        <w:rPr>
          <w:iCs w:val="false"/>
          <w:spacing w:val="0"/>
          <w:szCs w:val="28"/>
        </w:rPr>
      </w:pPr>
      <w:r>
        <w:rPr>
          <w:iCs w:val="false"/>
          <w:spacing w:val="0"/>
          <w:szCs w:val="28"/>
        </w:rPr>
      </w:r>
    </w:p>
    <w:p>
      <w:pPr>
        <w:pStyle w:val="Style19"/>
        <w:tabs>
          <w:tab w:val="clear" w:pos="708"/>
          <w:tab w:val="left" w:pos="1005" w:leader="none"/>
        </w:tabs>
        <w:rPr>
          <w:iCs w:val="false"/>
          <w:spacing w:val="0"/>
          <w:szCs w:val="28"/>
        </w:rPr>
      </w:pPr>
      <w:r>
        <w:rPr/>
        <w:drawing>
          <wp:inline distT="0" distB="0" distL="0" distR="0">
            <wp:extent cx="6666230" cy="3040380"/>
            <wp:effectExtent l="0" t="0" r="0" b="0"/>
            <wp:docPr id="4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Основными условиями гибели людей явились: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состояние алкогольного опьянения – 86 человек (49</w:t>
      </w:r>
      <w:r>
        <w:rPr>
          <w:sz w:val="28"/>
          <w:szCs w:val="28"/>
        </w:rPr>
        <w:t>% от общего количества</w:t>
      </w:r>
      <w:r>
        <w:rPr>
          <w:iCs/>
          <w:sz w:val="28"/>
          <w:szCs w:val="28"/>
        </w:rPr>
        <w:t>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>состояние сна – 33 человека (19% от общего количества);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условия – 13 человек (8% от общего количества);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болезненное состояние, исключающее возможность самостоятельного передвижения – 9 человек (5% от общего количества);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паника – 5 человек (3% от общего количества);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преклонный возраст – 11 человек (6% от общего количества);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позднее сообщение о пожаре –4 человека (2% от общего количества);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взрыв – 2 человека (1% от общего количества);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техники безопасности – 4 человека (2% от общего количества);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физические недостатки, затрудняющие самостоятельное передвижение – 2 человека (1% от общего количества);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условия не установлены – 6 человек (4% от общего количества).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shd w:fill="FFFFFF" w:val="clear"/>
          <w:lang w:eastAsia="en-US"/>
        </w:rPr>
      </w:pPr>
      <w:r>
        <w:rPr>
          <w:sz w:val="28"/>
          <w:szCs w:val="28"/>
        </w:rPr>
        <w:t>Основным условием, способствовавшим гибели людей на пожарах, является алкогольное опьянение, что составляет 49% от общего количества погибших людей на пожарах.</w:t>
      </w:r>
      <w:r>
        <w:rPr>
          <w:rFonts w:eastAsia="Calibri" w:eastAsiaTheme="minorHAnsi"/>
          <w:sz w:val="28"/>
          <w:szCs w:val="28"/>
          <w:shd w:fill="FFFFFF" w:val="clear"/>
          <w:lang w:eastAsia="en-US"/>
        </w:rPr>
        <w:t xml:space="preserve"> 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shd w:fill="FFFFFF" w:val="clear"/>
          <w:lang w:eastAsia="en-US"/>
        </w:rPr>
      </w:pPr>
      <w:r>
        <w:rPr>
          <w:rFonts w:eastAsia="Calibri" w:eastAsiaTheme="minorHAnsi"/>
          <w:sz w:val="28"/>
          <w:szCs w:val="28"/>
          <w:shd w:fill="FFFFFF" w:val="clear"/>
          <w:lang w:eastAsia="en-US"/>
        </w:rPr>
        <w:t>Находящиеся в нетрезвом состоянии люди, не контролируют свои действия и поступки, чем ставят под угрозу безопасность своих близких и соседей.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Из проведенного анализа можно сделать вывод, что основной причиной пожаров с гибелью людей является социальные проблемы в обществе, большинство погибших относились к социально незащищенным слоям населения (безработные, инвалиды), возрастом старше 46 лет, зачастую злоупотребляющие алкоголем.</w:t>
      </w:r>
    </w:p>
    <w:p>
      <w:pPr>
        <w:pStyle w:val="Style19"/>
        <w:tabs>
          <w:tab w:val="clear" w:pos="708"/>
          <w:tab w:val="left" w:pos="1005" w:leader="none"/>
        </w:tabs>
        <w:rPr>
          <w:rFonts w:eastAsia="Calibri" w:eastAsiaTheme="minorHAnsi"/>
          <w:szCs w:val="28"/>
          <w:lang w:eastAsia="en-US"/>
        </w:rPr>
      </w:pPr>
      <w:r>
        <w:rPr/>
      </w:r>
    </w:p>
    <w:sectPr>
      <w:footerReference w:type="even" r:id="rId14"/>
      <w:footerReference w:type="default" r:id="rId15"/>
      <w:type w:val="nextPage"/>
      <w:pgSz w:w="11906" w:h="16838"/>
      <w:pgMar w:left="907" w:right="794" w:gutter="0" w:header="0" w:top="851" w:footer="510" w:bottom="709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6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8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47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49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8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040e13"/>
    <w:pPr>
      <w:keepNext w:val="true"/>
      <w:ind w:left="284" w:right="425" w:hanging="0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Normal"/>
    <w:next w:val="Normal"/>
    <w:qFormat/>
    <w:rsid w:val="00040e13"/>
    <w:pPr>
      <w:keepNext w:val="true"/>
      <w:overflowPunct w:val="true"/>
      <w:ind w:left="284" w:right="425" w:hanging="0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Normal"/>
    <w:next w:val="Normal"/>
    <w:qFormat/>
    <w:rsid w:val="00040e13"/>
    <w:pPr>
      <w:keepNext w:val="true"/>
      <w:overflowPunct w:val="true"/>
      <w:ind w:left="284" w:right="425" w:hanging="0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Normal"/>
    <w:next w:val="Normal"/>
    <w:qFormat/>
    <w:rsid w:val="00040e13"/>
    <w:pPr>
      <w:keepNext w:val="true"/>
      <w:overflowPunct w:val="true"/>
      <w:ind w:left="284" w:right="425" w:hanging="0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828e9"/>
    <w:rPr/>
  </w:style>
  <w:style w:type="character" w:styleId="Style10" w:customStyle="1">
    <w:name w:val="Верхний колонтитул Знак"/>
    <w:link w:val="a3"/>
    <w:uiPriority w:val="99"/>
    <w:qFormat/>
    <w:rsid w:val="00d04753"/>
    <w:rPr>
      <w:sz w:val="24"/>
      <w:szCs w:val="24"/>
    </w:rPr>
  </w:style>
  <w:style w:type="character" w:styleId="3" w:customStyle="1">
    <w:name w:val="Основной текст 3 Знак"/>
    <w:link w:val="30"/>
    <w:qFormat/>
    <w:rsid w:val="00cf28b8"/>
    <w:rPr>
      <w:sz w:val="16"/>
      <w:szCs w:val="16"/>
      <w:lang w:val="x-none" w:eastAsia="x-non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a4"/>
    <w:uiPriority w:val="99"/>
    <w:rsid w:val="007e38a1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Style18">
    <w:name w:val="Footer"/>
    <w:basedOn w:val="Normal"/>
    <w:rsid w:val="007e38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rsid w:val="00857722"/>
    <w:pPr>
      <w:overflowPunct w:val="true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BodyTextIndent3">
    <w:name w:val="Body Text Indent 3"/>
    <w:basedOn w:val="Normal"/>
    <w:qFormat/>
    <w:rsid w:val="004f6bbf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295c9f"/>
    <w:pPr/>
    <w:rPr>
      <w:rFonts w:ascii="Tahoma" w:hAnsi="Tahoma" w:cs="Tahoma"/>
      <w:sz w:val="16"/>
      <w:szCs w:val="16"/>
    </w:rPr>
  </w:style>
  <w:style w:type="paragraph" w:styleId="Style19">
    <w:name w:val="Title"/>
    <w:basedOn w:val="Normal"/>
    <w:qFormat/>
    <w:rsid w:val="007a3790"/>
    <w:pPr>
      <w:overflowPunct w:val="true"/>
      <w:jc w:val="center"/>
      <w:textAlignment w:val="baseline"/>
    </w:pPr>
    <w:rPr>
      <w:b/>
      <w:iCs/>
      <w:spacing w:val="-2"/>
      <w:sz w:val="28"/>
      <w:szCs w:val="20"/>
    </w:rPr>
  </w:style>
  <w:style w:type="paragraph" w:styleId="Style20" w:customStyle="1">
    <w:name w:val="Знак"/>
    <w:basedOn w:val="Normal"/>
    <w:qFormat/>
    <w:rsid w:val="007a379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" w:customStyle="1">
    <w:name w:val="Знак Знак1 Знак"/>
    <w:basedOn w:val="Normal"/>
    <w:qFormat/>
    <w:rsid w:val="00cc730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Caption">
    <w:name w:val="caption"/>
    <w:basedOn w:val="Normal"/>
    <w:next w:val="Normal"/>
    <w:qFormat/>
    <w:rsid w:val="00483abb"/>
    <w:pPr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f759fe"/>
    <w:pPr>
      <w:spacing w:before="0" w:after="0"/>
      <w:ind w:left="720" w:hanging="0"/>
      <w:contextualSpacing/>
    </w:pPr>
    <w:rPr/>
  </w:style>
  <w:style w:type="paragraph" w:styleId="BodyText3">
    <w:name w:val="Body Text 3"/>
    <w:basedOn w:val="Normal"/>
    <w:link w:val="31"/>
    <w:qFormat/>
    <w:rsid w:val="00cf28b8"/>
    <w:pPr>
      <w:spacing w:before="0" w:after="120"/>
    </w:pPr>
    <w:rPr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620cf8"/>
    <w:pPr>
      <w:spacing w:beforeAutospacing="1" w:afterAutospacing="1"/>
    </w:pPr>
    <w:rPr>
      <w:rFonts w:eastAsia="" w:eastAsiaTheme="minorEastAsia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chart" Target="charts/chart7.xml"/><Relationship Id="rId9" Type="http://schemas.openxmlformats.org/officeDocument/2006/relationships/chart" Target="charts/chart8.xml"/><Relationship Id="rId10" Type="http://schemas.openxmlformats.org/officeDocument/2006/relationships/chart" Target="charts/chart9.xml"/><Relationship Id="rId11" Type="http://schemas.openxmlformats.org/officeDocument/2006/relationships/chart" Target="charts/chart10.xml"/><Relationship Id="rId12" Type="http://schemas.openxmlformats.org/officeDocument/2006/relationships/chart" Target="charts/chart11.xml"/><Relationship Id="rId13" Type="http://schemas.openxmlformats.org/officeDocument/2006/relationships/chart" Target="charts/chart1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1.xlsx"/><Relationship Id="rId2" Type="http://schemas.openxmlformats.org/officeDocument/2006/relationships/chartUserShapes" Target="../drawings/drawing1.xml"/>
</Relationships>
</file>

<file path=word/charts/_rels/chart10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10.xlsx"/>
</Relationships>
</file>

<file path=word/charts/_rels/chart11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11.xlsx"/>
</Relationships>
</file>

<file path=word/charts/_rels/chart12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12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2.xlsx"/><Relationship Id="rId2" Type="http://schemas.openxmlformats.org/officeDocument/2006/relationships/chartUserShapes" Target="../drawings/drawing2.xml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3.xlsx"/><Relationship Id="rId2" Type="http://schemas.openxmlformats.org/officeDocument/2006/relationships/chartUserShapes" Target="../drawings/drawing3.xml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4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5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6.xlsx"/>
</Relationships>
</file>

<file path=word/charts/_rels/chart7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7.xlsx"/>
</Relationships>
</file>

<file path=word/charts/_rels/chart8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8.xlsx"/>
</Relationships>
</file>

<file path=word/charts/_rels/chart9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9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txPr>
                <a:bodyPr wrap="square"/>
                <a:lstStyle/>
                <a:p>
                  <a:pPr>
                    <a:defRPr b="1" sz="14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1" sz="1400" spc="-1" strike="noStrike">
                        <a:solidFill>
                          <a:srgbClr val="000000"/>
                        </a:solidFill>
                        <a:latin typeface="Calibri"/>
                      </a:rPr>
                      <a:t>14427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4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Пожары, ед.</c:v>
                </c:pt>
                <c:pt idx="1">
                  <c:v>Гибель, чел.</c:v>
                </c:pt>
                <c:pt idx="2">
                  <c:v>Гибель дети, чел.</c:v>
                </c:pt>
                <c:pt idx="3">
                  <c:v>Травмы, чел.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14427</c:v>
                </c:pt>
                <c:pt idx="1">
                  <c:v>182</c:v>
                </c:pt>
                <c:pt idx="2">
                  <c:v>4</c:v>
                </c:pt>
                <c:pt idx="3">
                  <c:v>206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85183362496355"/>
                  <c:y val="-0.015853657014244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4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4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Пожары, ед.</c:v>
                </c:pt>
                <c:pt idx="1">
                  <c:v>Гибель, чел.</c:v>
                </c:pt>
                <c:pt idx="2">
                  <c:v>Гибель дети, чел.</c:v>
                </c:pt>
                <c:pt idx="3">
                  <c:v>Травмы, чел.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9326</c:v>
                </c:pt>
                <c:pt idx="1">
                  <c:v>175</c:v>
                </c:pt>
                <c:pt idx="2">
                  <c:v>4</c:v>
                </c:pt>
                <c:pt idx="3">
                  <c:v>203</c:v>
                </c:pt>
              </c:numCache>
            </c:numRef>
          </c:val>
        </c:ser>
        <c:gapWidth val="70"/>
        <c:shape val="cylinder"/>
        <c:axId val="94232753"/>
        <c:axId val="28374571"/>
        <c:axId val="0"/>
      </c:bar3DChart>
      <c:catAx>
        <c:axId val="94232753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28374571"/>
        <c:crosses val="autoZero"/>
        <c:auto val="1"/>
        <c:lblAlgn val="ctr"/>
        <c:lblOffset val="100"/>
        <c:noMultiLvlLbl val="0"/>
      </c:catAx>
      <c:valAx>
        <c:axId val="28374571"/>
        <c:scaling>
          <c:logBase val="10"/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4232753"/>
        <c:crossBetween val="between"/>
      </c:valAx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noFill/>
    </a:ln>
  </c:sp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30"/>
      <c:rotY val="0"/>
      <c:rAngAx val="0"/>
      <c:perspective val="3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explosion val="29"/>
          <c:dPt>
            <c:idx val="0"/>
            <c:explosion val="29"/>
            <c:spPr>
              <a:solidFill>
                <a:srgbClr val="4672a8"/>
              </a:solidFill>
              <a:ln w="0">
                <a:noFill/>
              </a:ln>
            </c:spPr>
          </c:dPt>
          <c:dPt>
            <c:idx val="1"/>
            <c:explosion val="29"/>
            <c:spPr>
              <a:solidFill>
                <a:srgbClr val="ab4744"/>
              </a:solidFill>
              <a:ln w="0">
                <a:noFill/>
              </a:ln>
            </c:spPr>
          </c:dPt>
          <c:dPt>
            <c:idx val="2"/>
            <c:explosion val="29"/>
            <c:spPr>
              <a:solidFill>
                <a:srgbClr val="8aa64f"/>
              </a:solidFill>
              <a:ln w="0">
                <a:noFill/>
              </a:ln>
            </c:spPr>
          </c:dPt>
          <c:dPt>
            <c:idx val="3"/>
            <c:explosion val="29"/>
            <c:spPr>
              <a:solidFill>
                <a:srgbClr val="725990"/>
              </a:solidFill>
              <a:ln w="0">
                <a:noFill/>
              </a:ln>
            </c:spPr>
          </c:dPt>
          <c:dPt>
            <c:idx val="4"/>
            <c:explosion val="29"/>
            <c:spPr>
              <a:solidFill>
                <a:srgbClr val="4299b0"/>
              </a:solidFill>
              <a:ln w="0">
                <a:noFill/>
              </a:ln>
            </c:spPr>
          </c:dPt>
          <c:dPt>
            <c:idx val="5"/>
            <c:explosion val="29"/>
            <c:spPr>
              <a:solidFill>
                <a:srgbClr val="dc853e"/>
              </a:solidFill>
              <a:ln w="0">
                <a:noFill/>
              </a:ln>
            </c:spPr>
          </c:dPt>
          <c:dPt>
            <c:idx val="6"/>
            <c:explosion val="29"/>
            <c:spPr>
              <a:solidFill>
                <a:srgbClr val="93a9ce"/>
              </a:solidFill>
              <a:ln w="0">
                <a:noFill/>
              </a:ln>
            </c:spPr>
          </c:dPt>
          <c:dLbls>
            <c:numFmt formatCode="General" sourceLinked="1"/>
            <c:dLbl>
              <c:idx val="0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Пенсионеры - 67 (38%)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1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Безработные - 46 (26%)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2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Работающие граждане - 24 (14%)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3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Инвалиды - 10 (6%)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4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Дети</a:t>
                    </a:r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 -</a:t>
                    </a:r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 4 (2%)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5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Прочие - 16 (9%)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6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БОМЖ - 8 (5%)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bestFit"/>
            <c:showLegendKey val="1"/>
            <c:showVal val="1"/>
            <c:showCatName val="1"/>
            <c:showSerName val="0"/>
            <c:showPercent val="1"/>
            <c:separator>; </c:separator>
            <c:showLeaderLines val="1"/>
          </c:dLbls>
          <c:cat>
            <c:strRef>
              <c:f>categories</c:f>
              <c:strCache>
                <c:ptCount val="7"/>
                <c:pt idx="0">
                  <c:v>Пенсионеры</c:v>
                </c:pt>
                <c:pt idx="1">
                  <c:v>Безработные</c:v>
                </c:pt>
                <c:pt idx="2">
                  <c:v>Работающие граждане</c:v>
                </c:pt>
                <c:pt idx="3">
                  <c:v>Инвалиды</c:v>
                </c:pt>
                <c:pt idx="4">
                  <c:v>Дети</c:v>
                </c:pt>
                <c:pt idx="5">
                  <c:v>Прочие</c:v>
                </c:pt>
                <c:pt idx="6">
                  <c:v>БОМЖ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67</c:v>
                </c:pt>
                <c:pt idx="1">
                  <c:v>46</c:v>
                </c:pt>
                <c:pt idx="2">
                  <c:v>24</c:v>
                </c:pt>
                <c:pt idx="3">
                  <c:v>10</c:v>
                </c:pt>
                <c:pt idx="4">
                  <c:v>4</c:v>
                </c:pt>
                <c:pt idx="5">
                  <c:v>16</c:v>
                </c:pt>
                <c:pt idx="6">
                  <c:v>8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30"/>
      <c:rotY val="0"/>
      <c:rAngAx val="0"/>
      <c:perspective val="3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explosion val="25"/>
          <c:dPt>
            <c:idx val="0"/>
            <c:explosion val="25"/>
            <c:spPr>
              <a:solidFill>
                <a:srgbClr val="4672a8"/>
              </a:solidFill>
              <a:ln w="0">
                <a:noFill/>
              </a:ln>
            </c:spPr>
          </c:dPt>
          <c:dPt>
            <c:idx val="1"/>
            <c:explosion val="25"/>
            <c:spPr>
              <a:solidFill>
                <a:srgbClr val="ab4744"/>
              </a:solidFill>
              <a:ln w="0">
                <a:noFill/>
              </a:ln>
            </c:spPr>
          </c:dPt>
          <c:dPt>
            <c:idx val="2"/>
            <c:explosion val="25"/>
            <c:spPr>
              <a:solidFill>
                <a:srgbClr val="8aa64f"/>
              </a:solidFill>
              <a:ln w="0">
                <a:noFill/>
              </a:ln>
            </c:spPr>
          </c:dPt>
          <c:dPt>
            <c:idx val="3"/>
            <c:explosion val="25"/>
            <c:spPr>
              <a:solidFill>
                <a:srgbClr val="725990"/>
              </a:solidFill>
              <a:ln w="0">
                <a:noFill/>
              </a:ln>
            </c:spPr>
          </c:dPt>
          <c:dPt>
            <c:idx val="4"/>
            <c:explosion val="25"/>
            <c:spPr>
              <a:solidFill>
                <a:srgbClr val="4299b0"/>
              </a:solidFill>
              <a:ln w="0">
                <a:noFill/>
              </a:ln>
            </c:spPr>
          </c:dPt>
          <c:dPt>
            <c:idx val="5"/>
            <c:explosion val="25"/>
            <c:spPr>
              <a:solidFill>
                <a:srgbClr val="dc853e"/>
              </a:solidFill>
              <a:ln w="0">
                <a:noFill/>
              </a:ln>
            </c:spPr>
          </c:dPt>
          <c:dPt>
            <c:idx val="6"/>
            <c:explosion val="25"/>
            <c:spPr>
              <a:solidFill>
                <a:srgbClr val="93a9ce"/>
              </a:solidFill>
              <a:ln w="0">
                <a:noFill/>
              </a:ln>
            </c:spPr>
          </c:dPt>
          <c:dLbls>
            <c:numFmt formatCode="General" sourceLinked="1"/>
            <c:dLbl>
              <c:idx val="0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0-6 лет - 2 (1%)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1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7-17 лет - 2 (1%)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2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18-25 лет - 5 (3%)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3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26-35 лет - 10 (6%)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4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36-45 лет - 20 (12%)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5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46-60 лет - 60 (35%)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6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61 год и старше</a:t>
                    </a:r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 -</a:t>
                    </a:r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 73 (42%)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bestFit"/>
            <c:showLegendKey val="1"/>
            <c:showVal val="1"/>
            <c:showCatName val="1"/>
            <c:showSerName val="0"/>
            <c:showPercent val="1"/>
            <c:separator>; </c:separator>
            <c:showLeaderLines val="1"/>
          </c:dLbls>
          <c:cat>
            <c:strRef>
              <c:f>categories</c:f>
              <c:strCache>
                <c:ptCount val="7"/>
                <c:pt idx="0">
                  <c:v>0-6 лет</c:v>
                </c:pt>
                <c:pt idx="1">
                  <c:v>7-17 лет</c:v>
                </c:pt>
                <c:pt idx="2">
                  <c:v>18-25 лет</c:v>
                </c:pt>
                <c:pt idx="3">
                  <c:v>26-35 лет</c:v>
                </c:pt>
                <c:pt idx="4">
                  <c:v>36-45 лет</c:v>
                </c:pt>
                <c:pt idx="5">
                  <c:v>46-60 лет</c:v>
                </c:pt>
                <c:pt idx="6">
                  <c:v>61 год и старше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60</c:v>
                </c:pt>
                <c:pt idx="6">
                  <c:v>73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30"/>
      <c:rotY val="0"/>
      <c:rAngAx val="0"/>
      <c:perspective val="3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explosion val="25"/>
          <c:dPt>
            <c:idx val="0"/>
            <c:explosion val="25"/>
            <c:spPr>
              <a:solidFill>
                <a:srgbClr val="4672a8"/>
              </a:solidFill>
              <a:ln w="0">
                <a:noFill/>
              </a:ln>
            </c:spPr>
          </c:dPt>
          <c:dPt>
            <c:idx val="1"/>
            <c:explosion val="25"/>
            <c:spPr>
              <a:solidFill>
                <a:srgbClr val="ab4744"/>
              </a:solidFill>
              <a:ln w="0">
                <a:noFill/>
              </a:ln>
            </c:spPr>
          </c:dPt>
          <c:dPt>
            <c:idx val="2"/>
            <c:explosion val="25"/>
            <c:spPr>
              <a:solidFill>
                <a:srgbClr val="8aa64f"/>
              </a:solidFill>
              <a:ln w="0">
                <a:noFill/>
              </a:ln>
            </c:spPr>
          </c:dPt>
          <c:dPt>
            <c:idx val="3"/>
            <c:explosion val="25"/>
            <c:spPr>
              <a:solidFill>
                <a:srgbClr val="725990"/>
              </a:solidFill>
              <a:ln w="0">
                <a:noFill/>
              </a:ln>
            </c:spPr>
          </c:dPt>
          <c:dPt>
            <c:idx val="4"/>
            <c:explosion val="25"/>
            <c:spPr>
              <a:solidFill>
                <a:srgbClr val="4299b0"/>
              </a:solidFill>
              <a:ln w="0">
                <a:noFill/>
              </a:ln>
            </c:spPr>
          </c:dPt>
          <c:dPt>
            <c:idx val="5"/>
            <c:explosion val="25"/>
            <c:spPr>
              <a:solidFill>
                <a:srgbClr val="dc853e"/>
              </a:solidFill>
              <a:ln w="0">
                <a:noFill/>
              </a:ln>
            </c:spPr>
          </c:dPt>
          <c:dPt>
            <c:idx val="6"/>
            <c:explosion val="25"/>
            <c:spPr>
              <a:solidFill>
                <a:srgbClr val="93a9ce"/>
              </a:solidFill>
              <a:ln w="0">
                <a:noFill/>
              </a:ln>
            </c:spPr>
          </c:dPt>
          <c:dPt>
            <c:idx val="7"/>
            <c:explosion val="25"/>
            <c:spPr>
              <a:solidFill>
                <a:srgbClr val="d09493"/>
              </a:solidFill>
              <a:ln w="0">
                <a:noFill/>
              </a:ln>
            </c:spPr>
          </c:dPt>
          <c:dPt>
            <c:idx val="8"/>
            <c:explosion val="25"/>
            <c:spPr>
              <a:solidFill>
                <a:srgbClr val="b8cd97"/>
              </a:solidFill>
              <a:ln w="0">
                <a:noFill/>
              </a:ln>
            </c:spPr>
          </c:dPt>
          <c:dPt>
            <c:idx val="9"/>
            <c:explosion val="25"/>
            <c:spPr>
              <a:solidFill>
                <a:srgbClr val="a99bbd"/>
              </a:solidFill>
              <a:ln w="0">
                <a:noFill/>
              </a:ln>
            </c:spPr>
          </c:dPt>
          <c:dPt>
            <c:idx val="10"/>
            <c:explosion val="25"/>
            <c:spPr>
              <a:solidFill>
                <a:srgbClr val="92c3d5"/>
              </a:solidFill>
              <a:ln w="0">
                <a:noFill/>
              </a:ln>
            </c:spPr>
          </c:dPt>
          <c:dLbls>
            <c:numFmt formatCode="General" sourceLinked="1"/>
            <c:dLbl>
              <c:idx val="0"/>
              <c:txPr>
                <a:bodyPr wrap="square"/>
                <a:lstStyle/>
                <a:p>
                  <a:pPr>
                    <a:defRPr b="0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800" spc="-1" strike="noStrike">
                        <a:solidFill>
                          <a:srgbClr val="000000"/>
                        </a:solidFill>
                        <a:latin typeface="Calibri"/>
                      </a:rPr>
                      <a:t>Состояние алкогольного опьянения - 86 (49%)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1"/>
              <c:txPr>
                <a:bodyPr wrap="square"/>
                <a:lstStyle/>
                <a:p>
                  <a:pPr>
                    <a:defRPr b="0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800" spc="-1" strike="noStrike">
                        <a:solidFill>
                          <a:srgbClr val="000000"/>
                        </a:solidFill>
                        <a:latin typeface="Calibri"/>
                      </a:rPr>
                      <a:t>Состояние сна - 33 (19%)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2"/>
              <c:txPr>
                <a:bodyPr wrap="square"/>
                <a:lstStyle/>
                <a:p>
                  <a:pPr>
                    <a:defRPr b="0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800" spc="-1" strike="noStrike">
                        <a:solidFill>
                          <a:srgbClr val="000000"/>
                        </a:solidFill>
                        <a:latin typeface="Calibri"/>
                      </a:rPr>
                      <a:t>Прочие условия - 13 (8%)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3"/>
              <c:txPr>
                <a:bodyPr wrap="square"/>
                <a:lstStyle/>
                <a:p>
                  <a:pPr>
                    <a:defRPr b="0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800" spc="-1" strike="noStrike">
                        <a:solidFill>
                          <a:srgbClr val="000000"/>
                        </a:solidFill>
                        <a:latin typeface="Calibri"/>
                      </a:rPr>
                      <a:t>Болезненное состояние, исключающее возможность самостоятельного передвижения - 9 (5%)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4"/>
              <c:txPr>
                <a:bodyPr wrap="square"/>
                <a:lstStyle/>
                <a:p>
                  <a:pPr>
                    <a:defRPr b="0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800" spc="-1" strike="noStrike">
                        <a:solidFill>
                          <a:srgbClr val="000000"/>
                        </a:solidFill>
                        <a:latin typeface="Calibri"/>
                      </a:rPr>
                      <a:t>Паника - 5 (3%)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5"/>
              <c:txPr>
                <a:bodyPr wrap="square"/>
                <a:lstStyle/>
                <a:p>
                  <a:pPr>
                    <a:defRPr b="0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800" spc="-1" strike="noStrike">
                        <a:solidFill>
                          <a:srgbClr val="000000"/>
                        </a:solidFill>
                        <a:latin typeface="Calibri"/>
                      </a:rPr>
                      <a:t>Преклонный возраст -  11 (6%)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6"/>
              <c:txPr>
                <a:bodyPr wrap="square"/>
                <a:lstStyle/>
                <a:p>
                  <a:pPr>
                    <a:defRPr b="0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800" spc="-1" strike="noStrike">
                        <a:solidFill>
                          <a:srgbClr val="000000"/>
                        </a:solidFill>
                        <a:latin typeface="Calibri"/>
                      </a:rPr>
                      <a:t>Позднее сообщение о пожаре - 4 (2%)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7"/>
              <c:txPr>
                <a:bodyPr wrap="square"/>
                <a:lstStyle/>
                <a:p>
                  <a:pPr>
                    <a:defRPr b="0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800" spc="-1" strike="noStrike">
                        <a:solidFill>
                          <a:srgbClr val="000000"/>
                        </a:solidFill>
                        <a:latin typeface="Calibri"/>
                      </a:rPr>
                      <a:t>Взрыв - 2 (1%)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8"/>
              <c:txPr>
                <a:bodyPr wrap="square"/>
                <a:lstStyle/>
                <a:p>
                  <a:pPr>
                    <a:defRPr b="0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800" spc="-1" strike="noStrike">
                        <a:solidFill>
                          <a:srgbClr val="000000"/>
                        </a:solidFill>
                        <a:latin typeface="Calibri"/>
                      </a:rPr>
                      <a:t>Нарушение техники безопасности - 4 (2%)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9"/>
              <c:txPr>
                <a:bodyPr wrap="square"/>
                <a:lstStyle/>
                <a:p>
                  <a:pPr>
                    <a:defRPr b="0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800" spc="-1" strike="noStrike">
                        <a:solidFill>
                          <a:srgbClr val="000000"/>
                        </a:solidFill>
                        <a:latin typeface="Calibri"/>
                      </a:rPr>
                      <a:t>Физические недостатки, затрудняющие самостоятельное передвижение человека -</a:t>
                    </a:r>
                    <a:r>
                      <a:rPr b="0" sz="800" spc="-1" strike="noStrike">
                        <a:solidFill>
                          <a:srgbClr val="000000"/>
                        </a:solidFill>
                        <a:latin typeface="Calibri"/>
                      </a:rPr>
                      <a:t>
</a:t>
                    </a:r>
                    <a:r>
                      <a:rPr b="0" sz="800" spc="-1" strike="noStrike">
                        <a:solidFill>
                          <a:srgbClr val="000000"/>
                        </a:solidFill>
                        <a:latin typeface="Calibri"/>
                      </a:rPr>
                      <a:t> 2 (1%)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10"/>
              <c:txPr>
                <a:bodyPr wrap="square"/>
                <a:lstStyle/>
                <a:p>
                  <a:pPr>
                    <a:defRPr b="0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800" spc="-1" strike="noStrike">
                        <a:solidFill>
                          <a:srgbClr val="000000"/>
                        </a:solidFill>
                        <a:latin typeface="Calibri"/>
                      </a:rPr>
                      <a:t>условия не установлены</a:t>
                    </a:r>
                    <a:r>
                      <a:rPr b="0" sz="800" spc="-1" strike="noStrike">
                        <a:solidFill>
                          <a:srgbClr val="000000"/>
                        </a:solidFill>
                        <a:latin typeface="Calibri"/>
                      </a:rPr>
                      <a:t> -</a:t>
                    </a:r>
                    <a:r>
                      <a:rPr b="0" sz="800" spc="-1" strike="noStrike">
                        <a:solidFill>
                          <a:srgbClr val="000000"/>
                        </a:solidFill>
                        <a:latin typeface="Calibri"/>
                      </a:rPr>
                      <a:t> 6 (4%)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0" sz="8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bestFit"/>
            <c:showLegendKey val="1"/>
            <c:showVal val="1"/>
            <c:showCatName val="1"/>
            <c:showSerName val="0"/>
            <c:showPercent val="1"/>
            <c:separator>; </c:separator>
            <c:showLeaderLines val="1"/>
          </c:dLbls>
          <c:cat>
            <c:strRef>
              <c:f>categories</c:f>
              <c:strCache>
                <c:ptCount val="11"/>
                <c:pt idx="0">
                  <c:v>Состояние алкогольного опьянения</c:v>
                </c:pt>
                <c:pt idx="1">
                  <c:v>Состояние сна</c:v>
                </c:pt>
                <c:pt idx="2">
                  <c:v>Прочие условия</c:v>
                </c:pt>
                <c:pt idx="3">
                  <c:v>Болезненное состояние, исключающее возможность самостоятельного передвижения</c:v>
                </c:pt>
                <c:pt idx="4">
                  <c:v>Паника</c:v>
                </c:pt>
                <c:pt idx="5">
                  <c:v>Преклонный возраст</c:v>
                </c:pt>
                <c:pt idx="6">
                  <c:v>Позднее сообщение о пожаре</c:v>
                </c:pt>
                <c:pt idx="7">
                  <c:v>Взрыв</c:v>
                </c:pt>
                <c:pt idx="8">
                  <c:v>Нарушение техники безопасности</c:v>
                </c:pt>
                <c:pt idx="9">
                  <c:v>Физические недостатки, затрудняющие самостоятельное передвижение человека</c:v>
                </c:pt>
                <c:pt idx="10">
                  <c:v>условия не установлены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1"/>
                <c:pt idx="0">
                  <c:v>86</c:v>
                </c:pt>
                <c:pt idx="1">
                  <c:v>33</c:v>
                </c:pt>
                <c:pt idx="2">
                  <c:v>13</c:v>
                </c:pt>
                <c:pt idx="3">
                  <c:v>9</c:v>
                </c:pt>
                <c:pt idx="4">
                  <c:v>5</c:v>
                </c:pt>
                <c:pt idx="5">
                  <c:v>11</c:v>
                </c:pt>
                <c:pt idx="6">
                  <c:v>4</c:v>
                </c:pt>
                <c:pt idx="7">
                  <c:v>2</c:v>
                </c:pt>
                <c:pt idx="8">
                  <c:v>4</c:v>
                </c:pt>
                <c:pt idx="9">
                  <c:v>2</c:v>
                </c:pt>
                <c:pt idx="10">
                  <c:v>6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0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2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Пожары, ед.</c:v>
                </c:pt>
                <c:pt idx="1">
                  <c:v>Гибель, чел.</c:v>
                </c:pt>
                <c:pt idx="2">
                  <c:v>Гибель дети, чел.</c:v>
                </c:pt>
                <c:pt idx="3">
                  <c:v>Травмы, чел.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9949</c:v>
                </c:pt>
                <c:pt idx="1">
                  <c:v>125</c:v>
                </c:pt>
                <c:pt idx="2">
                  <c:v>4</c:v>
                </c:pt>
                <c:pt idx="3">
                  <c:v>158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2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Пожары, ед.</c:v>
                </c:pt>
                <c:pt idx="1">
                  <c:v>Гибель, чел.</c:v>
                </c:pt>
                <c:pt idx="2">
                  <c:v>Гибель дети, чел.</c:v>
                </c:pt>
                <c:pt idx="3">
                  <c:v>Травмы, чел.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6201</c:v>
                </c:pt>
                <c:pt idx="1">
                  <c:v>106</c:v>
                </c:pt>
                <c:pt idx="2">
                  <c:v>3</c:v>
                </c:pt>
                <c:pt idx="3">
                  <c:v>157</c:v>
                </c:pt>
              </c:numCache>
            </c:numRef>
          </c:val>
        </c:ser>
        <c:gapWidth val="16"/>
        <c:shape val="cylinder"/>
        <c:axId val="51661086"/>
        <c:axId val="62692413"/>
        <c:axId val="0"/>
      </c:bar3DChart>
      <c:catAx>
        <c:axId val="5166108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2692413"/>
        <c:crosses val="autoZero"/>
        <c:auto val="1"/>
        <c:lblAlgn val="ctr"/>
        <c:lblOffset val="100"/>
        <c:noMultiLvlLbl val="0"/>
      </c:catAx>
      <c:valAx>
        <c:axId val="62692413"/>
        <c:scaling>
          <c:logBase val="10"/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51661086"/>
        <c:crossBetween val="between"/>
      </c:valAx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0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2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Пожары, ед.</c:v>
                </c:pt>
                <c:pt idx="1">
                  <c:v>Гибель, чел.</c:v>
                </c:pt>
                <c:pt idx="2">
                  <c:v>Гибель дети, чел.</c:v>
                </c:pt>
                <c:pt idx="3">
                  <c:v>Травмы, чел.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4478</c:v>
                </c:pt>
                <c:pt idx="1">
                  <c:v>57</c:v>
                </c:pt>
                <c:pt idx="2">
                  <c:v>0</c:v>
                </c:pt>
                <c:pt idx="3">
                  <c:v>48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2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Пожары, ед.</c:v>
                </c:pt>
                <c:pt idx="1">
                  <c:v>Гибель, чел.</c:v>
                </c:pt>
                <c:pt idx="2">
                  <c:v>Гибель дети, чел.</c:v>
                </c:pt>
                <c:pt idx="3">
                  <c:v>Травмы, чел.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3125</c:v>
                </c:pt>
                <c:pt idx="1">
                  <c:v>69</c:v>
                </c:pt>
                <c:pt idx="2">
                  <c:v>1</c:v>
                </c:pt>
                <c:pt idx="3">
                  <c:v>46</c:v>
                </c:pt>
              </c:numCache>
            </c:numRef>
          </c:val>
        </c:ser>
        <c:gapWidth val="16"/>
        <c:shape val="cylinder"/>
        <c:axId val="5943747"/>
        <c:axId val="47152796"/>
        <c:axId val="0"/>
      </c:bar3DChart>
      <c:catAx>
        <c:axId val="5943747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7152796"/>
        <c:crosses val="autoZero"/>
        <c:auto val="1"/>
        <c:lblAlgn val="ctr"/>
        <c:lblOffset val="100"/>
        <c:noMultiLvlLbl val="0"/>
      </c:catAx>
      <c:valAx>
        <c:axId val="47152796"/>
        <c:scaling>
          <c:logBase val="10"/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5943747"/>
        <c:crossBetween val="between"/>
      </c:valAx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rot="-5400000" wrap="square"/>
              <a:lstStyle/>
              <a:p>
                <a:pPr>
                  <a:defRPr b="1" sz="11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2"/>
                <c:pt idx="0">
                  <c:v>545</c:v>
                </c:pt>
                <c:pt idx="1">
                  <c:v>447</c:v>
                </c:pt>
                <c:pt idx="2">
                  <c:v>421</c:v>
                </c:pt>
                <c:pt idx="3">
                  <c:v>2081</c:v>
                </c:pt>
                <c:pt idx="4">
                  <c:v>2537</c:v>
                </c:pt>
                <c:pt idx="5">
                  <c:v>3069</c:v>
                </c:pt>
                <c:pt idx="6">
                  <c:v>841</c:v>
                </c:pt>
                <c:pt idx="7">
                  <c:v>1431</c:v>
                </c:pt>
                <c:pt idx="8">
                  <c:v>1037</c:v>
                </c:pt>
                <c:pt idx="9">
                  <c:v>953</c:v>
                </c:pt>
                <c:pt idx="10">
                  <c:v>601</c:v>
                </c:pt>
                <c:pt idx="11">
                  <c:v>464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rot="-5400000" wrap="square"/>
              <a:lstStyle/>
              <a:p>
                <a:pPr>
                  <a:defRPr b="1" sz="11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2"/>
                <c:pt idx="0">
                  <c:v>453</c:v>
                </c:pt>
                <c:pt idx="1">
                  <c:v>396</c:v>
                </c:pt>
                <c:pt idx="2">
                  <c:v>399</c:v>
                </c:pt>
                <c:pt idx="3">
                  <c:v>1654</c:v>
                </c:pt>
                <c:pt idx="4">
                  <c:v>1428</c:v>
                </c:pt>
                <c:pt idx="5">
                  <c:v>716</c:v>
                </c:pt>
                <c:pt idx="6">
                  <c:v>768</c:v>
                </c:pt>
                <c:pt idx="7">
                  <c:v>1096</c:v>
                </c:pt>
                <c:pt idx="8">
                  <c:v>837</c:v>
                </c:pt>
                <c:pt idx="9">
                  <c:v>729</c:v>
                </c:pt>
                <c:pt idx="10">
                  <c:v>382</c:v>
                </c:pt>
                <c:pt idx="11">
                  <c:v>468</c:v>
                </c:pt>
              </c:numCache>
            </c:numRef>
          </c:val>
        </c:ser>
        <c:gapWidth val="150"/>
        <c:shape val="cylinder"/>
        <c:axId val="49150022"/>
        <c:axId val="63835657"/>
        <c:axId val="0"/>
      </c:bar3DChart>
      <c:catAx>
        <c:axId val="49150022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3835657"/>
        <c:crosses val="autoZero"/>
        <c:auto val="1"/>
        <c:lblAlgn val="ctr"/>
        <c:lblOffset val="100"/>
        <c:noMultiLvlLbl val="0"/>
      </c:catAx>
      <c:valAx>
        <c:axId val="63835657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9150022"/>
        <c:crosses val="autoZero"/>
        <c:crossBetween val="between"/>
      </c:valAx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1"/>
              <c:layout>
                <c:manualLayout>
                  <c:x val="-0.00910616991051863"/>
                  <c:y val="0.0039633313828749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1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1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2"/>
                <c:pt idx="0">
                  <c:v>17</c:v>
                </c:pt>
                <c:pt idx="1">
                  <c:v>16</c:v>
                </c:pt>
                <c:pt idx="2">
                  <c:v>20</c:v>
                </c:pt>
                <c:pt idx="3">
                  <c:v>11</c:v>
                </c:pt>
                <c:pt idx="4">
                  <c:v>10</c:v>
                </c:pt>
                <c:pt idx="5">
                  <c:v>8</c:v>
                </c:pt>
                <c:pt idx="6">
                  <c:v>7</c:v>
                </c:pt>
                <c:pt idx="7">
                  <c:v>14</c:v>
                </c:pt>
                <c:pt idx="8">
                  <c:v>14</c:v>
                </c:pt>
                <c:pt idx="9">
                  <c:v>17</c:v>
                </c:pt>
                <c:pt idx="10">
                  <c:v>24</c:v>
                </c:pt>
                <c:pt idx="11">
                  <c:v>24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5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6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7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8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9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1"/>
              <c:layout>
                <c:manualLayout>
                  <c:x val="0.00910616991051862"/>
                  <c:y val="0.0039633313828749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1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0910616991051862"/>
                  <c:y val="0.0039633313828749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1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layout>
                <c:manualLayout>
                  <c:x val="0.00910616991051862"/>
                  <c:y val="0.0039633313828749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1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layout>
                <c:manualLayout>
                  <c:x val="0.00728493592841489"/>
                  <c:y val="0.0039633313828749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1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7"/>
              <c:layout>
                <c:manualLayout>
                  <c:x val="0.0109274038926223"/>
                  <c:y val="0.0039633313828749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1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8"/>
              <c:layout>
                <c:manualLayout>
                  <c:x val="0.0109274038926223"/>
                  <c:y val="0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1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9"/>
              <c:layout>
                <c:manualLayout>
                  <c:x val="0.0109274038926223"/>
                  <c:y val="0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1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0"/>
              <c:layout>
                <c:manualLayout>
                  <c:x val="0.0109274038926223"/>
                  <c:y val="0.0039633313828749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1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1"/>
              <c:layout>
                <c:manualLayout>
                  <c:x val="0.00910616991051862"/>
                  <c:y val="0.0039633313828749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1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1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2"/>
                <c:pt idx="0">
                  <c:v>31</c:v>
                </c:pt>
                <c:pt idx="1">
                  <c:v>16</c:v>
                </c:pt>
                <c:pt idx="2">
                  <c:v>15</c:v>
                </c:pt>
                <c:pt idx="3">
                  <c:v>13</c:v>
                </c:pt>
                <c:pt idx="4">
                  <c:v>14</c:v>
                </c:pt>
                <c:pt idx="5">
                  <c:v>4</c:v>
                </c:pt>
                <c:pt idx="6">
                  <c:v>4</c:v>
                </c:pt>
                <c:pt idx="7">
                  <c:v>10</c:v>
                </c:pt>
                <c:pt idx="8">
                  <c:v>13</c:v>
                </c:pt>
                <c:pt idx="9">
                  <c:v>15</c:v>
                </c:pt>
                <c:pt idx="10">
                  <c:v>18</c:v>
                </c:pt>
                <c:pt idx="11">
                  <c:v>22</c:v>
                </c:pt>
              </c:numCache>
            </c:numRef>
          </c:val>
        </c:ser>
        <c:gapWidth val="150"/>
        <c:shape val="cylinder"/>
        <c:axId val="64820108"/>
        <c:axId val="95791002"/>
        <c:axId val="0"/>
      </c:bar3DChart>
      <c:catAx>
        <c:axId val="64820108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5791002"/>
        <c:crosses val="autoZero"/>
        <c:auto val="1"/>
        <c:lblAlgn val="ctr"/>
        <c:lblOffset val="100"/>
        <c:noMultiLvlLbl val="0"/>
      </c:catAx>
      <c:valAx>
        <c:axId val="95791002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4820108"/>
        <c:crosses val="autoZero"/>
        <c:crossBetween val="between"/>
      </c:valAx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30"/>
      <c:rotY val="0"/>
      <c:rAngAx val="0"/>
      <c:perspective val="3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layout>
        <c:manualLayout>
          <c:layoutTarget val="inner"/>
          <c:xMode val="edge"/>
          <c:yMode val="edge"/>
          <c:x val="0.078625"/>
          <c:y val="0.105111111111111"/>
          <c:w val="0.8355625"/>
          <c:h val="0.796888888888889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explosion val="25"/>
          <c:dPt>
            <c:idx val="0"/>
            <c:explosion val="25"/>
            <c:spPr>
              <a:solidFill>
                <a:srgbClr val="4672a8"/>
              </a:solidFill>
              <a:ln w="0">
                <a:noFill/>
              </a:ln>
            </c:spPr>
          </c:dPt>
          <c:dPt>
            <c:idx val="1"/>
            <c:explosion val="25"/>
            <c:spPr>
              <a:solidFill>
                <a:srgbClr val="ab4744"/>
              </a:solidFill>
              <a:ln w="0">
                <a:noFill/>
              </a:ln>
            </c:spPr>
          </c:dPt>
          <c:dPt>
            <c:idx val="2"/>
            <c:explosion val="25"/>
            <c:spPr>
              <a:solidFill>
                <a:srgbClr val="8aa64f"/>
              </a:solidFill>
              <a:ln w="0">
                <a:noFill/>
              </a:ln>
            </c:spPr>
          </c:dPt>
          <c:dPt>
            <c:idx val="3"/>
            <c:explosion val="25"/>
            <c:spPr>
              <a:solidFill>
                <a:srgbClr val="725990"/>
              </a:solidFill>
              <a:ln w="0">
                <a:noFill/>
              </a:ln>
            </c:spPr>
          </c:dPt>
          <c:dPt>
            <c:idx val="4"/>
            <c:explosion val="25"/>
            <c:spPr>
              <a:solidFill>
                <a:srgbClr val="4299b0"/>
              </a:solidFill>
              <a:ln w="0">
                <a:noFill/>
              </a:ln>
            </c:spPr>
          </c:dPt>
          <c:dPt>
            <c:idx val="5"/>
            <c:explosion val="25"/>
            <c:spPr>
              <a:solidFill>
                <a:srgbClr val="dc853e"/>
              </a:solidFill>
              <a:ln w="0">
                <a:noFill/>
              </a:ln>
            </c:spPr>
          </c:dPt>
          <c:dPt>
            <c:idx val="6"/>
            <c:explosion val="25"/>
            <c:spPr>
              <a:solidFill>
                <a:srgbClr val="93a9ce"/>
              </a:solidFill>
              <a:ln w="0">
                <a:noFill/>
              </a:ln>
            </c:spPr>
          </c:dPt>
          <c:dLbls>
            <c:numFmt formatCode="General" sourceLinked="1"/>
            <c:dLbl>
              <c:idx val="0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Объекты на открытой территории - 5140 </a:t>
                    </a:r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
</a:t>
                    </a:r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(55%)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1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Жилой сектор - 2950 (32%)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2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Социально-значимые объекты - 15 </a:t>
                    </a:r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
</a:t>
                    </a:r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(0%)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3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Объекты транспорта и транспортной инфраструктуры - 386 (4%)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4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Промышленные объекты - 120 (1%)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5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Объекты торгового назначения и общественного питания - 97 (1%)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6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Иные объекты - 618 </a:t>
                    </a:r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
</a:t>
                    </a:r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(7%)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bestFit"/>
            <c:showLegendKey val="1"/>
            <c:showVal val="1"/>
            <c:showCatName val="1"/>
            <c:showSerName val="0"/>
            <c:showPercent val="1"/>
            <c:separator>; </c:separator>
            <c:showLeaderLines val="1"/>
          </c:dLbls>
          <c:cat>
            <c:strRef>
              <c:f>categories</c:f>
              <c:strCache>
                <c:ptCount val="7"/>
                <c:pt idx="0">
                  <c:v>Объекты на открытой территории</c:v>
                </c:pt>
                <c:pt idx="1">
                  <c:v>Жилой сектор</c:v>
                </c:pt>
                <c:pt idx="2">
                  <c:v>Социально-значимые объекты</c:v>
                </c:pt>
                <c:pt idx="3">
                  <c:v>Объекты транспорта и транспортной инфраструктуры</c:v>
                </c:pt>
                <c:pt idx="4">
                  <c:v>Промышленные объекты</c:v>
                </c:pt>
                <c:pt idx="5">
                  <c:v>Объекты торгового назначения и общественного питания</c:v>
                </c:pt>
                <c:pt idx="6">
                  <c:v>Иные объекты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5140</c:v>
                </c:pt>
                <c:pt idx="1">
                  <c:v>2950</c:v>
                </c:pt>
                <c:pt idx="2">
                  <c:v>15</c:v>
                </c:pt>
                <c:pt idx="3">
                  <c:v>386</c:v>
                </c:pt>
                <c:pt idx="4">
                  <c:v>120</c:v>
                </c:pt>
                <c:pt idx="5">
                  <c:v>97</c:v>
                </c:pt>
                <c:pt idx="6">
                  <c:v>618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30"/>
      <c:rotY val="0"/>
      <c:rAngAx val="0"/>
      <c:perspective val="3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Причины пожаров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explosion val="25"/>
          <c:dPt>
            <c:idx val="0"/>
            <c:explosion val="25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explosion val="25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explosion val="25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explosion val="25"/>
            <c:spPr>
              <a:solidFill>
                <a:srgbClr val="8064a2"/>
              </a:solidFill>
              <a:ln w="0">
                <a:noFill/>
              </a:ln>
            </c:spPr>
          </c:dPt>
          <c:dPt>
            <c:idx val="4"/>
            <c:explosion val="25"/>
            <c:spPr>
              <a:solidFill>
                <a:srgbClr val="4bacc6"/>
              </a:solidFill>
              <a:ln w="0">
                <a:noFill/>
              </a:ln>
            </c:spPr>
          </c:dPt>
          <c:dLbls>
            <c:numFmt formatCode="General" sourceLinked="1"/>
            <c:dLbl>
              <c:idx val="0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Неосторожное обращение с огнем</a:t>
                    </a:r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 -</a:t>
                    </a:r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 6431 (69%)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1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Электротехнические - 1632 (17%)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2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Печные - 624 (7%)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3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Транспортные</a:t>
                    </a:r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 -</a:t>
                    </a:r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 196 (2%)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4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000" spc="-1" strike="noStrike">
                        <a:solidFill>
                          <a:srgbClr val="000000"/>
                        </a:solidFill>
                        <a:latin typeface="Calibri"/>
                      </a:rPr>
                      <a:t>Прочие - 443 (5%)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bestFit"/>
            <c:showLegendKey val="1"/>
            <c:showVal val="1"/>
            <c:showCatName val="1"/>
            <c:showSerName val="0"/>
            <c:showPercent val="1"/>
            <c:separator>; </c:separator>
            <c:showLeaderLines val="1"/>
          </c:dLbls>
          <c:cat>
            <c:strRef>
              <c:f>categories</c:f>
              <c:strCache>
                <c:ptCount val="5"/>
                <c:pt idx="0">
                  <c:v>Неосторожное обращение с огнем</c:v>
                </c:pt>
                <c:pt idx="1">
                  <c:v>Электротехнические</c:v>
                </c:pt>
                <c:pt idx="2">
                  <c:v>Печные </c:v>
                </c:pt>
                <c:pt idx="3">
                  <c:v>Транспортные</c:v>
                </c:pt>
                <c:pt idx="4">
                  <c:v>Прочие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6431</c:v>
                </c:pt>
                <c:pt idx="1">
                  <c:v>1632</c:v>
                </c:pt>
                <c:pt idx="2">
                  <c:v>624</c:v>
                </c:pt>
                <c:pt idx="3">
                  <c:v>196</c:v>
                </c:pt>
                <c:pt idx="4">
                  <c:v>443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Гибель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5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6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-0.00561742918721845"/>
                  <c:y val="0.095119953188999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"/>
                  <c:y val="0.13078993563487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-0.00187247639573948"/>
                  <c:y val="0.099083284571874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374495279147903"/>
                  <c:y val="0.091156621806124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"/>
                  <c:y val="0.083229959040374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layout>
                <c:manualLayout>
                  <c:x val="0"/>
                  <c:y val="0.10304661595474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layout>
                <c:manualLayout>
                  <c:x val="0"/>
                  <c:y val="0.079266627657499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2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36</c:v>
                </c:pt>
                <c:pt idx="1">
                  <c:v>23</c:v>
                </c:pt>
                <c:pt idx="2">
                  <c:v>16</c:v>
                </c:pt>
                <c:pt idx="3">
                  <c:v>23</c:v>
                </c:pt>
                <c:pt idx="4">
                  <c:v>18</c:v>
                </c:pt>
                <c:pt idx="5">
                  <c:v>29</c:v>
                </c:pt>
                <c:pt idx="6">
                  <c:v>30</c:v>
                </c:pt>
              </c:numCache>
            </c:numRef>
          </c:val>
        </c:ser>
        <c:gapWidth val="150"/>
        <c:overlap val="0"/>
        <c:axId val="55193741"/>
        <c:axId val="53677429"/>
      </c:barChart>
      <c:lineChart>
        <c:grouping val="standard"/>
        <c:varyColors val="0"/>
        <c:ser>
          <c:idx val="1"/>
          <c:order val="1"/>
          <c:tx>
            <c:strRef>
              <c:f>label 1</c:f>
              <c:strCache>
                <c:ptCount val="1"/>
                <c:pt idx="0">
                  <c:v>Травмы</c:v>
                </c:pt>
              </c:strCache>
            </c:strRef>
          </c:tx>
          <c:spPr>
            <a:solidFill>
              <a:srgbClr val="be4b48"/>
            </a:solidFill>
            <a:ln w="28440">
              <a:solidFill>
                <a:srgbClr val="be4b48"/>
              </a:solidFill>
              <a:round/>
            </a:ln>
          </c:spPr>
          <c:marker>
            <c:symbol val="none"/>
          </c:marker>
          <c:dPt>
            <c:idx val="1"/>
            <c:marker>
              <c:symbol val="none"/>
            </c:marker>
          </c:dPt>
          <c:dPt>
            <c:idx val="2"/>
            <c:marker>
              <c:symbol val="none"/>
            </c:marker>
          </c:dPt>
          <c:dPt>
            <c:idx val="3"/>
            <c:marker>
              <c:symbol val="none"/>
            </c:marker>
          </c:dPt>
          <c:dPt>
            <c:idx val="4"/>
            <c:marker>
              <c:symbol val="none"/>
            </c:marker>
          </c:dPt>
          <c:dLbls>
            <c:numFmt formatCode="General" sourceLinked="0"/>
            <c:dLbl>
              <c:idx val="1"/>
              <c:layout>
                <c:manualLayout>
                  <c:x val="-0.0187247639573948"/>
                  <c:y val="-0.019816656914374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-0.0205972403531343"/>
                  <c:y val="-0.031706651062999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-0.0205972403531343"/>
                  <c:y val="-0.019816656914374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-0.0299596223318317"/>
                  <c:y val="-0.023779988297249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2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29</c:v>
                </c:pt>
                <c:pt idx="1">
                  <c:v>22</c:v>
                </c:pt>
                <c:pt idx="2">
                  <c:v>29</c:v>
                </c:pt>
                <c:pt idx="3">
                  <c:v>27</c:v>
                </c:pt>
                <c:pt idx="4">
                  <c:v>27</c:v>
                </c:pt>
                <c:pt idx="5">
                  <c:v>48</c:v>
                </c:pt>
                <c:pt idx="6">
                  <c:v>21</c:v>
                </c:pt>
              </c:numCache>
            </c:numRef>
          </c:val>
          <c:smooth val="0"/>
        </c:ser>
        <c:hiLowLines>
          <c:spPr>
            <a:ln w="0">
              <a:noFill/>
            </a:ln>
          </c:spPr>
        </c:hiLowLines>
        <c:marker val="0"/>
        <c:axId val="55193741"/>
        <c:axId val="53677429"/>
      </c:lineChart>
      <c:catAx>
        <c:axId val="55193741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53677429"/>
        <c:crosses val="autoZero"/>
        <c:auto val="1"/>
        <c:lblAlgn val="ctr"/>
        <c:lblOffset val="100"/>
        <c:noMultiLvlLbl val="0"/>
      </c:catAx>
      <c:valAx>
        <c:axId val="53677429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55193741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Гибель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5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6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7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8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9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-0.00561742918721845"/>
                  <c:y val="0.095119953188999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"/>
                  <c:y val="0.13078993563487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-0.00187247639573948"/>
                  <c:y val="0.099083284571874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183890816309838"/>
                  <c:y val="0.15165737398990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"/>
                  <c:y val="0.083229959040374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layout>
                <c:manualLayout>
                  <c:x val="0"/>
                  <c:y val="0.10304661595474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layout>
                <c:manualLayout>
                  <c:x val="0"/>
                  <c:y val="0.079266627657499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7"/>
              <c:layout>
                <c:manualLayout>
                  <c:x val="6.98856069916839E-017"/>
                  <c:y val="0.092767972722849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8"/>
              <c:layout>
                <c:manualLayout>
                  <c:x val="0"/>
                  <c:y val="0.11293492331477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9"/>
              <c:layout>
                <c:manualLayout>
                  <c:x val="0"/>
                  <c:y val="0.10486814307800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0"/>
              <c:layout>
                <c:manualLayout>
                  <c:x val="0"/>
                  <c:y val="0.084701192486080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1"/>
              <c:layout>
                <c:manualLayout>
                  <c:x val="0"/>
                  <c:y val="0.12503509366992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2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2"/>
                <c:pt idx="0">
                  <c:v>00.01-01.59</c:v>
                </c:pt>
                <c:pt idx="1">
                  <c:v>02.00-03.59</c:v>
                </c:pt>
                <c:pt idx="2">
                  <c:v>04.00-05.59</c:v>
                </c:pt>
                <c:pt idx="3">
                  <c:v>06.00-07.59</c:v>
                </c:pt>
                <c:pt idx="4">
                  <c:v>08.00-09.59</c:v>
                </c:pt>
                <c:pt idx="5">
                  <c:v>10.00-11.59</c:v>
                </c:pt>
                <c:pt idx="6">
                  <c:v>12.00-13.59</c:v>
                </c:pt>
                <c:pt idx="7">
                  <c:v>14.00-15.59</c:v>
                </c:pt>
                <c:pt idx="8">
                  <c:v>16.00-17.59</c:v>
                </c:pt>
                <c:pt idx="9">
                  <c:v>18.00-19.59</c:v>
                </c:pt>
                <c:pt idx="10">
                  <c:v>20.00-21.59</c:v>
                </c:pt>
                <c:pt idx="11">
                  <c:v>22.00-23.59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2"/>
                <c:pt idx="0">
                  <c:v>30</c:v>
                </c:pt>
                <c:pt idx="1">
                  <c:v>25</c:v>
                </c:pt>
                <c:pt idx="2">
                  <c:v>15</c:v>
                </c:pt>
                <c:pt idx="3">
                  <c:v>13</c:v>
                </c:pt>
                <c:pt idx="4">
                  <c:v>11</c:v>
                </c:pt>
                <c:pt idx="5">
                  <c:v>14</c:v>
                </c:pt>
                <c:pt idx="6">
                  <c:v>8</c:v>
                </c:pt>
                <c:pt idx="7">
                  <c:v>12</c:v>
                </c:pt>
                <c:pt idx="8">
                  <c:v>10</c:v>
                </c:pt>
                <c:pt idx="9">
                  <c:v>13</c:v>
                </c:pt>
                <c:pt idx="10">
                  <c:v>8</c:v>
                </c:pt>
                <c:pt idx="11">
                  <c:v>16</c:v>
                </c:pt>
              </c:numCache>
            </c:numRef>
          </c:val>
        </c:ser>
        <c:gapWidth val="150"/>
        <c:overlap val="0"/>
        <c:axId val="79568982"/>
        <c:axId val="29869722"/>
      </c:barChart>
      <c:lineChart>
        <c:grouping val="standard"/>
        <c:varyColors val="0"/>
        <c:ser>
          <c:idx val="1"/>
          <c:order val="1"/>
          <c:tx>
            <c:strRef>
              <c:f>label 1</c:f>
              <c:strCache>
                <c:ptCount val="1"/>
                <c:pt idx="0">
                  <c:v>Травмы</c:v>
                </c:pt>
              </c:strCache>
            </c:strRef>
          </c:tx>
          <c:spPr>
            <a:solidFill>
              <a:srgbClr val="be4b48"/>
            </a:solidFill>
            <a:ln w="28440">
              <a:solidFill>
                <a:srgbClr val="be4b48"/>
              </a:solidFill>
              <a:round/>
            </a:ln>
          </c:spPr>
          <c:marker>
            <c:symbol val="none"/>
          </c:marker>
          <c:dPt>
            <c:idx val="1"/>
            <c:marker>
              <c:symbol val="none"/>
            </c:marker>
          </c:dPt>
          <c:dPt>
            <c:idx val="2"/>
            <c:marker>
              <c:symbol val="none"/>
            </c:marker>
          </c:dPt>
          <c:dPt>
            <c:idx val="3"/>
            <c:marker>
              <c:symbol val="none"/>
            </c:marker>
          </c:dPt>
          <c:dPt>
            <c:idx val="4"/>
            <c:marker>
              <c:symbol val="none"/>
            </c:marker>
          </c:dPt>
          <c:dPt>
            <c:idx val="5"/>
            <c:marker>
              <c:symbol val="none"/>
            </c:marker>
          </c:dPt>
          <c:dPt>
            <c:idx val="6"/>
            <c:marker>
              <c:symbol val="none"/>
            </c:marker>
          </c:dPt>
          <c:dLbls>
            <c:numFmt formatCode="General" sourceLinked="0"/>
            <c:dLbl>
              <c:idx val="1"/>
              <c:layout>
                <c:manualLayout>
                  <c:x val="-0.0187247639573948"/>
                  <c:y val="-0.019816656914374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c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-0.0186911890440514"/>
                  <c:y val="0.040894447133371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c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-0.0225031752794794"/>
                  <c:y val="-0.027883429308962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c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-0.0299596223318317"/>
                  <c:y val="-0.023779988297249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c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layout>
                <c:manualLayout>
                  <c:x val="-0.0228719174125678"/>
                  <c:y val="-0.032267120947078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c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layout>
                <c:manualLayout>
                  <c:x val="-0.0266839036479958"/>
                  <c:y val="0.048400681420617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200" spc="-1" strike="noStrike">
                      <a:solidFill>
                        <a:srgbClr val="c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200" spc="-1" strike="noStrike">
                    <a:solidFill>
                      <a:srgbClr val="c00000"/>
                    </a:solidFill>
                    <a:latin typeface="Calibri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2"/>
                <c:pt idx="0">
                  <c:v>00.01-01.59</c:v>
                </c:pt>
                <c:pt idx="1">
                  <c:v>02.00-03.59</c:v>
                </c:pt>
                <c:pt idx="2">
                  <c:v>04.00-05.59</c:v>
                </c:pt>
                <c:pt idx="3">
                  <c:v>06.00-07.59</c:v>
                </c:pt>
                <c:pt idx="4">
                  <c:v>08.00-09.59</c:v>
                </c:pt>
                <c:pt idx="5">
                  <c:v>10.00-11.59</c:v>
                </c:pt>
                <c:pt idx="6">
                  <c:v>12.00-13.59</c:v>
                </c:pt>
                <c:pt idx="7">
                  <c:v>14.00-15.59</c:v>
                </c:pt>
                <c:pt idx="8">
                  <c:v>16.00-17.59</c:v>
                </c:pt>
                <c:pt idx="9">
                  <c:v>18.00-19.59</c:v>
                </c:pt>
                <c:pt idx="10">
                  <c:v>20.00-21.59</c:v>
                </c:pt>
                <c:pt idx="11">
                  <c:v>22.00-23.59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2"/>
                <c:pt idx="0">
                  <c:v>34</c:v>
                </c:pt>
                <c:pt idx="1">
                  <c:v>10</c:v>
                </c:pt>
                <c:pt idx="2">
                  <c:v>8</c:v>
                </c:pt>
                <c:pt idx="3">
                  <c:v>9</c:v>
                </c:pt>
                <c:pt idx="4">
                  <c:v>13</c:v>
                </c:pt>
                <c:pt idx="5">
                  <c:v>23</c:v>
                </c:pt>
                <c:pt idx="6">
                  <c:v>18</c:v>
                </c:pt>
                <c:pt idx="7">
                  <c:v>21</c:v>
                </c:pt>
                <c:pt idx="8">
                  <c:v>12</c:v>
                </c:pt>
                <c:pt idx="9">
                  <c:v>26</c:v>
                </c:pt>
                <c:pt idx="10">
                  <c:v>13</c:v>
                </c:pt>
                <c:pt idx="11">
                  <c:v>16</c:v>
                </c:pt>
              </c:numCache>
            </c:numRef>
          </c:val>
          <c:smooth val="0"/>
        </c:ser>
        <c:hiLowLines>
          <c:spPr>
            <a:ln w="0">
              <a:noFill/>
            </a:ln>
          </c:spPr>
        </c:hiLowLines>
        <c:marker val="0"/>
        <c:axId val="79568982"/>
        <c:axId val="29869722"/>
      </c:lineChart>
      <c:catAx>
        <c:axId val="79568982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29869722"/>
        <c:crosses val="autoZero"/>
        <c:auto val="1"/>
        <c:lblAlgn val="ctr"/>
        <c:lblOffset val="100"/>
        <c:noMultiLvlLbl val="0"/>
      </c:catAx>
      <c:valAx>
        <c:axId val="29869722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79568982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drawings/drawing1.xml><?xml version="1.0" encoding="utf-8"?>
<c:userShapes xmlns:cdr="http://schemas.openxmlformats.org/drawingml/2006/chartDrawing" xmlns:a="http://schemas.openxmlformats.org/drawingml/2006/main" xmlns:c="http://schemas.openxmlformats.org/drawingml/2006/chart">
  <cdr:relSizeAnchor>
    <cdr:from>
      <cdr:x>0.335980051184461</cdr:x>
      <cdr:y>0.326808414894814</cdr:y>
    </cdr:from>
    <cdr:to>
      <cdr:x>0.422665529234202</cdr:x>
      <cdr:y>0.387782652716841</cdr:y>
    </cdr:to>
    <cdr:wsp>
      <cdr:cNvSpPr/>
      <cdr:spPr>
        <a:xfrm>
          <a:off x="0" y="0"/>
          <a:ext cx="475560" cy="195120"/>
        </a:xfrm>
        <a:prstGeom prst="curvedDownArrow">
          <a:avLst>
            <a:gd name="adj1" fmla="val 54105"/>
            <a:gd name="adj2" fmla="val 108304"/>
            <a:gd name="adj3" fmla="val 33333"/>
          </a:avLst>
        </a:prstGeom>
        <a:solidFill>
          <a:srgbClr val="00b050"/>
        </a:solidFill>
        <a:ln w="6480">
          <a:solidFill>
            <a:srgbClr val="000000"/>
          </a:solidFill>
          <a:miter/>
        </a:ln>
      </cdr:spPr>
      <cdr:style>
        <a:lnRef idx="0"/>
        <a:fillRef idx="0"/>
        <a:effectRef idx="0"/>
        <a:fontRef idx="minor"/>
      </cdr:style>
      <cdr:bodyPr/>
    </cdr:wsp>
  </cdr:relSizeAnchor>
</c:userShapes>
</file>

<file path=word/drawings/drawing2.xml><?xml version="1.0" encoding="utf-8"?>
<c:userShapes xmlns:cdr="http://schemas.openxmlformats.org/drawingml/2006/chartDrawing" xmlns:a="http://schemas.openxmlformats.org/drawingml/2006/main" xmlns:c="http://schemas.openxmlformats.org/drawingml/2006/chart">
  <cdr:relSizeAnchor>
    <cdr:from>
      <cdr:x>0.770413573700954</cdr:x>
      <cdr:y>0.264448964939572</cdr:y>
    </cdr:from>
    <cdr:to>
      <cdr:x>0.858894485683987</cdr:x>
      <cdr:y>0.332774919229388</cdr:y>
    </cdr:to>
    <cdr:wsp>
      <cdr:cNvSpPr/>
      <cdr:spPr>
        <a:xfrm>
          <a:off x="0" y="0"/>
          <a:ext cx="480600" cy="205560"/>
        </a:xfrm>
        <a:prstGeom prst="curvedDownArrow">
          <a:avLst>
            <a:gd name="adj1" fmla="val 47299"/>
            <a:gd name="adj2" fmla="val 94649"/>
            <a:gd name="adj3" fmla="val 33333"/>
          </a:avLst>
        </a:prstGeom>
        <a:solidFill>
          <a:srgbClr val="00b050"/>
        </a:solidFill>
        <a:ln w="6480">
          <a:solidFill>
            <a:srgbClr val="000000"/>
          </a:solidFill>
          <a:miter/>
        </a:ln>
      </cdr:spPr>
      <cdr:style>
        <a:lnRef idx="0"/>
        <a:fillRef idx="0"/>
        <a:effectRef idx="0"/>
        <a:fontRef idx="minor"/>
      </cdr:style>
      <cdr:bodyPr/>
    </cdr:wsp>
  </cdr:relSizeAnchor>
</c:userShapes>
</file>

<file path=word/drawings/drawing3.xml><?xml version="1.0" encoding="utf-8"?>
<c:userShapes xmlns:cdr="http://schemas.openxmlformats.org/drawingml/2006/chartDrawing" xmlns:a="http://schemas.openxmlformats.org/drawingml/2006/main" xmlns:c="http://schemas.openxmlformats.org/drawingml/2006/chart">
  <cdr:relSizeAnchor>
    <cdr:from>
      <cdr:x>0.48873653281097</cdr:x>
      <cdr:y>0.500886839304718</cdr:y>
    </cdr:from>
    <cdr:to>
      <cdr:x>0.574991838067254</cdr:x>
      <cdr:y>0.578928698119901</cdr:y>
    </cdr:to>
    <cdr:wsp>
      <cdr:cNvSpPr/>
      <cdr:spPr>
        <a:xfrm flipV="1">
          <a:off x="0" y="0"/>
          <a:ext cx="475560" cy="237600"/>
        </a:xfrm>
        <a:prstGeom prst="curvedDownArrow">
          <a:avLst>
            <a:gd name="adj1" fmla="val 49382"/>
            <a:gd name="adj2" fmla="val 98850"/>
            <a:gd name="adj3" fmla="val 33333"/>
          </a:avLst>
        </a:prstGeom>
        <a:solidFill>
          <a:srgbClr val="c0504d"/>
        </a:solidFill>
        <a:ln w="6480">
          <a:solidFill>
            <a:srgbClr val="000000"/>
          </a:solidFill>
          <a:miter/>
        </a:ln>
      </cdr:spPr>
      <cdr:style>
        <a:lnRef idx="0"/>
        <a:fillRef idx="0"/>
        <a:effectRef idx="0"/>
        <a:fontRef idx="minor"/>
      </cdr:style>
      <cdr:bodyPr/>
    </cdr:w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7E16F-7503-4405-A5F7-CC8F50FD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Application>LibreOffice/7.2.7.2$Linux_X86_64 LibreOffice_project/20$Build-2</Application>
  <AppVersion>15.0000</AppVersion>
  <Pages>13</Pages>
  <Words>2713</Words>
  <Characters>15652</Characters>
  <CharactersWithSpaces>18311</CharactersWithSpaces>
  <Paragraphs>161</Paragraphs>
  <Company>VNIIPO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2023-01-09T11:44:00Z</dcterms:created>
  <dc:creator>Зуева</dc:creator>
  <dc:description/>
  <dc:language>ru-RU</dc:language>
  <cp:lastModifiedBy/>
  <cp:lastPrinted>2022-12-08T10:20:00Z</cp:lastPrinted>
  <dcterms:modified xsi:type="dcterms:W3CDTF">2023-07-17T09:02:50Z</dcterms:modified>
  <cp:revision>13</cp:revision>
  <dc:subject/>
  <dc:title>МИНИСТЕРСТВО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