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harts/_rels/chart6.xml.rels" ContentType="application/vnd.openxmlformats-package.relationships+xml"/>
  <Override PartName="/word/charts/_rels/chart2.xml.rels" ContentType="application/vnd.openxmlformats-package.relationships+xml"/>
  <Override PartName="/word/charts/_rels/chart1.xml.rels" ContentType="application/vnd.openxmlformats-package.relationships+xml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5.xml.rels" ContentType="application/vnd.openxmlformats-package.relationships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6.xml" ContentType="application/vnd.openxmlformats-officedocument.drawingml.chart+xml"/>
  <Override PartName="/word/charts/chart1.xml" ContentType="application/vnd.openxmlformats-officedocument.drawingml.chart+xml"/>
  <Override PartName="/word/charts/chart5.xml" ContentType="application/vnd.openxmlformats-officedocument.drawingml.chart+xml"/>
  <Override PartName="/word/charts/chart2.xml" ContentType="application/vnd.openxmlformats-officedocument.drawingml.chart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Cs/>
          <w:sz w:val="28"/>
          <w:szCs w:val="30"/>
        </w:rPr>
      </w:pPr>
      <w:r>
        <w:rPr>
          <w:b/>
          <w:bCs/>
          <w:iCs/>
          <w:sz w:val="28"/>
          <w:szCs w:val="30"/>
        </w:rPr>
        <w:t xml:space="preserve"> </w:t>
      </w:r>
      <w:r>
        <w:rPr>
          <w:b/>
          <w:bCs/>
          <w:iCs/>
          <w:sz w:val="28"/>
          <w:szCs w:val="30"/>
        </w:rPr>
        <w:t>Исполнение федерального государственного надзора</w:t>
        <w:br/>
        <w:t>в области гражданской обороны</w:t>
      </w:r>
    </w:p>
    <w:p>
      <w:pPr>
        <w:pStyle w:val="Normal"/>
        <w:jc w:val="center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</w:rPr>
        <w:t xml:space="preserve">На территории Челябинской области взято на учёт </w:t>
      </w:r>
      <w:r>
        <w:rPr>
          <w:b/>
          <w:color w:val="000000"/>
          <w:sz w:val="28"/>
          <w:szCs w:val="28"/>
        </w:rPr>
        <w:t>102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3</w:t>
      </w:r>
      <w:r>
        <w:rPr>
          <w:sz w:val="28"/>
          <w:szCs w:val="28"/>
        </w:rPr>
        <w:t xml:space="preserve"> объекта, подлежащих надзору в области гражданской обороны, из них: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– территориальных орган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а </w:t>
      </w:r>
      <w:r>
        <w:rPr>
          <w:color w:val="000000"/>
          <w:sz w:val="28"/>
          <w:szCs w:val="28"/>
        </w:rPr>
        <w:t>федеральных органов исполнительной власти;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– органов исполнительной власти Челябинской области;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67</w:t>
      </w:r>
      <w:r>
        <w:rPr>
          <w:color w:val="000000"/>
          <w:sz w:val="28"/>
          <w:szCs w:val="28"/>
        </w:rPr>
        <w:t xml:space="preserve"> – органов местного самоуправления (далее по тексту – ОМСУ), из них:</w:t>
        <w:br/>
        <w:t>12 – отнесённых к группам по ГО;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895</w:t>
      </w:r>
      <w:r>
        <w:rPr>
          <w:color w:val="000000"/>
          <w:sz w:val="28"/>
          <w:szCs w:val="28"/>
        </w:rPr>
        <w:t xml:space="preserve"> – организаци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й</w:t>
      </w:r>
      <w:r>
        <w:rPr>
          <w:color w:val="000000"/>
          <w:sz w:val="28"/>
          <w:szCs w:val="28"/>
        </w:rPr>
        <w:t>, отнесённые к категориям высокого, значительного, среднего риска, из них:</w:t>
      </w:r>
    </w:p>
    <w:p>
      <w:pPr>
        <w:pStyle w:val="Normal"/>
        <w:tabs>
          <w:tab w:val="clear" w:pos="709"/>
          <w:tab w:val="left" w:pos="559" w:leader="none"/>
        </w:tabs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4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20</w:t>
      </w:r>
      <w:r>
        <w:rPr>
          <w:color w:val="000000"/>
          <w:sz w:val="28"/>
          <w:szCs w:val="28"/>
        </w:rPr>
        <w:t xml:space="preserve"> – организаций, отнесённых к категории гражданской обороны;</w:t>
      </w:r>
    </w:p>
    <w:p>
      <w:pPr>
        <w:pStyle w:val="Normal"/>
        <w:tabs>
          <w:tab w:val="clear" w:pos="709"/>
          <w:tab w:val="left" w:pos="559" w:leader="none"/>
        </w:tabs>
        <w:ind w:left="0" w:right="0" w:firstLine="567"/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185</w:t>
      </w:r>
      <w:r>
        <w:rPr>
          <w:color w:val="000000"/>
          <w:sz w:val="28"/>
          <w:szCs w:val="28"/>
        </w:rPr>
        <w:t xml:space="preserve"> – организаций, эксплуатирующих ПОО и КВО;</w:t>
      </w:r>
    </w:p>
    <w:p>
      <w:pPr>
        <w:pStyle w:val="Normal"/>
        <w:tabs>
          <w:tab w:val="clear" w:pos="709"/>
          <w:tab w:val="left" w:pos="573" w:leader="none"/>
        </w:tabs>
        <w:ind w:left="0" w:right="0" w:firstLine="567"/>
        <w:jc w:val="both"/>
        <w:rPr/>
      </w:pP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40</w:t>
      </w:r>
      <w:r>
        <w:rPr>
          <w:color w:val="000000"/>
          <w:sz w:val="28"/>
          <w:szCs w:val="28"/>
        </w:rPr>
        <w:t xml:space="preserve"> – организаций, имеющих на своём балансе объекты гражданской обороны;</w:t>
      </w:r>
    </w:p>
    <w:p>
      <w:pPr>
        <w:pStyle w:val="Normal"/>
        <w:tabs>
          <w:tab w:val="clear" w:pos="709"/>
          <w:tab w:val="left" w:pos="573" w:leader="none"/>
        </w:tabs>
        <w:ind w:left="0" w:right="0" w:firstLine="567"/>
        <w:jc w:val="both"/>
        <w:rPr/>
      </w:pPr>
      <w:r>
        <w:rPr>
          <w:b/>
          <w:bCs/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– организаций оборонно-промышленного комплекса;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235</w:t>
      </w:r>
      <w:r>
        <w:rPr>
          <w:color w:val="000000"/>
          <w:sz w:val="28"/>
          <w:szCs w:val="28"/>
        </w:rPr>
        <w:t xml:space="preserve"> – иные организации.</w:t>
      </w:r>
    </w:p>
    <w:p>
      <w:pPr>
        <w:pStyle w:val="Normal"/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</w:t>
        <w:br/>
        <w:t>от 25 июня 2021 года № 1007 проведено категорирование объектов надзора в области гражданской обороны с присвоением следующих категорий рисков: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54</w:t>
      </w:r>
      <w:r>
        <w:rPr>
          <w:color w:val="000000"/>
          <w:sz w:val="28"/>
          <w:szCs w:val="28"/>
        </w:rPr>
        <w:t xml:space="preserve"> – категория высокого риска присвоена организациям, отнесённым в установленном порядке к категории особой важности по гражданской обороне, эксплуатирующим потенциально опасные 1 и 2 категории и критически важные объекты федерального уровня;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64</w:t>
      </w:r>
      <w:r>
        <w:rPr>
          <w:color w:val="000000"/>
          <w:sz w:val="28"/>
          <w:szCs w:val="28"/>
        </w:rPr>
        <w:t xml:space="preserve"> – категория значительного риска присвоена организациям, отнесённым в установленном порядке к первой категории по гражданской обороне, эксплуатирующим потенциально опасные объекты 3 и 4 категории, критически важные объекты регионального уровня а также входящим в состав оборонно–промышленного комплекса;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649</w:t>
      </w:r>
      <w:r>
        <w:rPr>
          <w:color w:val="000000"/>
          <w:sz w:val="28"/>
          <w:szCs w:val="28"/>
        </w:rPr>
        <w:t xml:space="preserve"> – категория среднего риска присвоена организациям, отнесённым в установленном порядке ко второй категории по гражданской обороне,  эксплуатирующим потенциально опасные объекты 5 и 6 категории, критически важные объекты муниципального уровня, имеющим на своём балансе защитные сооружения гражданской обороны, обеспечивающие выполнение мероприятий местного и регионального уровня по гражданской обороне,  обеспечивающие выполнение мероприятий по гражданской обороне федеральных органов исполнительной власти и имеющих мобилизационные заказы;</w:t>
      </w:r>
    </w:p>
    <w:p>
      <w:pPr>
        <w:pStyle w:val="Normal"/>
        <w:ind w:left="0" w:right="0" w:firstLine="567"/>
        <w:jc w:val="both"/>
        <w:rPr/>
      </w:pPr>
      <w:r>
        <w:rPr>
          <w:b/>
          <w:bCs/>
          <w:color w:val="000000"/>
          <w:sz w:val="28"/>
          <w:szCs w:val="28"/>
        </w:rPr>
        <w:t>128</w:t>
      </w:r>
      <w:r>
        <w:rPr>
          <w:color w:val="000000"/>
          <w:sz w:val="28"/>
          <w:szCs w:val="28"/>
        </w:rPr>
        <w:t xml:space="preserve"> — категория низкого риска присвоена иным организациям.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sz w:val="28"/>
          <w:szCs w:val="28"/>
        </w:rPr>
        <w:t>Планирование мероприятий по проведению надзоров (контроля) в области ГО осуществляется в установленном порядке с учётом полного охвата всех контролируемых объектов и установленной законодательством Российской Федерации периодичности проведения проверок.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sz w:val="28"/>
          <w:szCs w:val="28"/>
        </w:rPr>
        <w:t>В связи с изменением предмета федерального государственного надзор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а</w:t>
      </w:r>
      <w:r>
        <w:rPr>
          <w:sz w:val="28"/>
          <w:szCs w:val="28"/>
        </w:rPr>
        <w:t xml:space="preserve"> в области гражданской обороны, утвержденного постановлением Правительства Российской Федерации от </w:t>
      </w:r>
      <w:r>
        <w:rPr>
          <w:color w:val="000000"/>
          <w:sz w:val="28"/>
          <w:szCs w:val="28"/>
        </w:rPr>
        <w:t>25 июня 2021 года № 1007</w:t>
      </w:r>
      <w:r>
        <w:rPr>
          <w:sz w:val="28"/>
          <w:szCs w:val="28"/>
        </w:rPr>
        <w:t xml:space="preserve">, проведение плановых проверок в отношении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ОИВ, ТОФОИВ, ОМСУ в 2022 году не планировалось.</w:t>
      </w:r>
    </w:p>
    <w:p>
      <w:pPr>
        <w:pStyle w:val="Normal"/>
        <w:ind w:left="0" w:right="0" w:firstLine="567"/>
        <w:jc w:val="both"/>
        <w:rPr>
          <w:rFonts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Постановлением Правительства Российской Федерации от 9 июня 2022 года № 1052, определен порядок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обороны. 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 xml:space="preserve">Порядок организации и осуществления государственного контроля (надзора) в 2022 году регламентирован постановлением Правительства Российской Федерации от 10 марта 2022 года № 336, которым установлен ряд ограничений при осуществлении государственного контроля (надзора). 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</w:rPr>
        <w:t>План проведения плановых проверок на</w:t>
      </w:r>
      <w:r>
        <w:rPr>
          <w:bCs/>
          <w:iCs/>
          <w:color w:val="000000"/>
          <w:sz w:val="28"/>
          <w:szCs w:val="30"/>
        </w:rPr>
        <w:t xml:space="preserve"> </w:t>
      </w:r>
      <w:r>
        <w:rPr>
          <w:bCs/>
          <w:iCs/>
          <w:sz w:val="28"/>
          <w:szCs w:val="30"/>
        </w:rPr>
        <w:t>202</w:t>
      </w:r>
      <w:r>
        <w:rPr>
          <w:rFonts w:eastAsia="Times New Roman" w:cs="Times New Roman"/>
          <w:bCs/>
          <w:iCs/>
          <w:color w:val="000000"/>
          <w:sz w:val="28"/>
          <w:szCs w:val="30"/>
          <w:lang w:val="ru-RU" w:eastAsia="zh-CN" w:bidi="ar-SA"/>
        </w:rPr>
        <w:t>2</w:t>
      </w:r>
      <w:r>
        <w:rPr>
          <w:sz w:val="28"/>
          <w:szCs w:val="28"/>
        </w:rPr>
        <w:t xml:space="preserve"> год в области ГО содерж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ал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7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9</w:t>
      </w:r>
      <w:r>
        <w:rPr>
          <w:sz w:val="28"/>
          <w:szCs w:val="28"/>
        </w:rPr>
        <w:t xml:space="preserve"> проверок в отношении  организаций, отнесённых к категориям высокого, значительного и среднего риска.</w:t>
      </w:r>
    </w:p>
    <w:p>
      <w:pPr>
        <w:pStyle w:val="Normal"/>
        <w:ind w:left="0" w:right="0" w:firstLine="567"/>
        <w:jc w:val="both"/>
        <w:rPr/>
      </w:pPr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</w:t>
        <w:br/>
        <w:t>от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zh-CN" w:bidi="ar-SA"/>
        </w:rPr>
        <w:t xml:space="preserve"> 10 марта 2022 года № 336</w:t>
      </w:r>
      <w:r>
        <w:rPr>
          <w:color w:val="000000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 из плана проверок исключен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а</w:t>
      </w:r>
      <w:r>
        <w:rPr>
          <w:color w:val="000000"/>
          <w:sz w:val="28"/>
          <w:szCs w:val="28"/>
        </w:rPr>
        <w:t xml:space="preserve"> 61 плановая проверка.</w:t>
      </w:r>
    </w:p>
    <w:p>
      <w:pPr>
        <w:pStyle w:val="Normal"/>
        <w:ind w:left="0" w:right="0"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18250" cy="1962785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ind w:left="0" w:right="0" w:firstLine="567"/>
        <w:jc w:val="both"/>
        <w:rPr/>
      </w:pPr>
      <w:r>
        <w:rPr>
          <w:color w:val="000000"/>
          <w:sz w:val="28"/>
        </w:rPr>
        <w:t>По состоянию на 3</w:t>
      </w:r>
      <w:r>
        <w:rPr>
          <w:rFonts w:eastAsia="Times New Roman" w:cs="Times New Roman"/>
          <w:color w:val="000000"/>
          <w:sz w:val="28"/>
          <w:szCs w:val="24"/>
          <w:lang w:val="ru-RU" w:eastAsia="zh-CN" w:bidi="ar-SA"/>
        </w:rPr>
        <w:t>1</w:t>
      </w:r>
      <w:r>
        <w:rPr>
          <w:color w:val="000000"/>
          <w:sz w:val="28"/>
        </w:rPr>
        <w:t xml:space="preserve"> декабря 2022 года проведено</w:t>
      </w:r>
      <w:r>
        <w:rPr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22</w:t>
      </w:r>
      <w:r>
        <w:rPr>
          <w:b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провер</w:t>
      </w:r>
      <w:r>
        <w:rPr>
          <w:rFonts w:eastAsia="Times New Roman" w:cs="Times New Roman"/>
          <w:b/>
          <w:bCs/>
          <w:color w:val="000000"/>
          <w:sz w:val="28"/>
          <w:szCs w:val="24"/>
          <w:lang w:val="ru-RU" w:eastAsia="zh-CN" w:bidi="ar-SA"/>
        </w:rPr>
        <w:t>ки</w:t>
      </w:r>
      <w:r>
        <w:rPr>
          <w:color w:val="000000"/>
          <w:sz w:val="28"/>
        </w:rPr>
        <w:t xml:space="preserve">, из них: 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18</w:t>
      </w:r>
      <w:r>
        <w:rPr>
          <w:b/>
          <w:color w:val="000000"/>
          <w:sz w:val="28"/>
        </w:rPr>
        <w:t xml:space="preserve"> планов</w:t>
      </w: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ых</w:t>
      </w:r>
      <w:r>
        <w:rPr>
          <w:b/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что составляет </w:t>
      </w:r>
      <w:r>
        <w:rPr>
          <w:rFonts w:eastAsia="Times New Roman" w:cs="Times New Roman"/>
          <w:color w:val="000000"/>
          <w:sz w:val="28"/>
          <w:szCs w:val="24"/>
          <w:lang w:val="ru-RU" w:eastAsia="zh-CN" w:bidi="ar-SA"/>
        </w:rPr>
        <w:t>100</w:t>
      </w:r>
      <w:r>
        <w:rPr>
          <w:color w:val="C9211E"/>
          <w:sz w:val="28"/>
        </w:rPr>
        <w:t xml:space="preserve"> </w:t>
      </w:r>
      <w:r>
        <w:rPr>
          <w:color w:val="000000"/>
          <w:sz w:val="28"/>
        </w:rPr>
        <w:t>% от общего числа запланированных;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4</w:t>
      </w:r>
      <w:r>
        <w:rPr>
          <w:b/>
          <w:color w:val="000000"/>
          <w:sz w:val="28"/>
        </w:rPr>
        <w:t xml:space="preserve"> внеплановых</w:t>
      </w:r>
      <w:r>
        <w:rPr>
          <w:color w:val="000000"/>
          <w:sz w:val="28"/>
        </w:rPr>
        <w:t>.</w:t>
      </w:r>
    </w:p>
    <w:p>
      <w:pPr>
        <w:pStyle w:val="Normal"/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3"/>
        <w:ind w:left="0" w:right="-8" w:firstLine="284"/>
        <w:jc w:val="center"/>
        <w:rPr/>
      </w:pPr>
      <w:r>
        <w:rPr/>
        <w:drawing>
          <wp:inline distT="0" distB="0" distL="0" distR="0">
            <wp:extent cx="5582285" cy="3054985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BodyText3"/>
        <w:ind w:left="0" w:right="-8" w:firstLine="567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3"/>
        <w:ind w:left="0" w:right="0" w:firstLine="567"/>
        <w:rPr>
          <w:color w:val="000000"/>
        </w:rPr>
      </w:pPr>
      <w:r>
        <w:rPr>
          <w:color w:val="000000"/>
        </w:rPr>
      </w:r>
    </w:p>
    <w:p>
      <w:pPr>
        <w:pStyle w:val="BodyText3"/>
        <w:ind w:left="0" w:right="0" w:firstLine="567"/>
        <w:rPr>
          <w:color w:val="000000"/>
        </w:rPr>
      </w:pPr>
      <w:r>
        <w:rPr>
          <w:color w:val="000000"/>
        </w:rPr>
      </w:r>
    </w:p>
    <w:p>
      <w:pPr>
        <w:pStyle w:val="BodyText3"/>
        <w:ind w:left="0" w:right="0" w:firstLine="567"/>
        <w:rPr>
          <w:color w:val="000000"/>
        </w:rPr>
      </w:pPr>
      <w:r>
        <w:rPr>
          <w:color w:val="000000"/>
        </w:rPr>
      </w:r>
    </w:p>
    <w:p>
      <w:pPr>
        <w:pStyle w:val="BodyText3"/>
        <w:ind w:left="0" w:right="0" w:firstLine="567"/>
        <w:rPr/>
      </w:pPr>
      <w:r>
        <w:rPr>
          <w:color w:val="000000"/>
        </w:rPr>
        <w:t xml:space="preserve">По результатам проверок выдано </w:t>
      </w: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4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предписани</w:t>
      </w:r>
      <w:r>
        <w:rPr>
          <w:rFonts w:eastAsia="Times New Roman" w:cs="Times New Roman"/>
          <w:b/>
          <w:bCs/>
          <w:color w:val="000000"/>
          <w:sz w:val="28"/>
          <w:szCs w:val="24"/>
          <w:lang w:val="ru-RU" w:eastAsia="zh-CN" w:bidi="ar-SA"/>
        </w:rPr>
        <w:t>я</w:t>
      </w:r>
    </w:p>
    <w:p>
      <w:pPr>
        <w:pStyle w:val="BodyText3"/>
        <w:ind w:left="0" w:right="0" w:firstLine="567"/>
        <w:rPr>
          <w:rFonts w:eastAsia="Times New Roman" w:cs="Times New Roman"/>
          <w:b/>
          <w:b/>
          <w:bCs/>
          <w:color w:val="000000"/>
          <w:sz w:val="28"/>
          <w:szCs w:val="24"/>
          <w:lang w:val="ru-RU" w:eastAsia="zh-CN" w:bidi="ar-SA"/>
        </w:rPr>
      </w:pPr>
      <w:r>
        <w:rPr>
          <w:rFonts w:eastAsia="Times New Roman" w:cs="Times New Roman"/>
          <w:b/>
          <w:bCs/>
          <w:color w:val="000000"/>
          <w:sz w:val="28"/>
          <w:szCs w:val="24"/>
          <w:lang w:val="ru-RU" w:eastAsia="zh-CN" w:bidi="ar-SA"/>
        </w:rPr>
      </w:r>
    </w:p>
    <w:p>
      <w:pPr>
        <w:pStyle w:val="BodyText3"/>
        <w:widowControl/>
        <w:tabs>
          <w:tab w:val="clear" w:pos="709"/>
          <w:tab w:val="left" w:pos="4678" w:leader="none"/>
        </w:tabs>
        <w:suppressAutoHyphens w:val="true"/>
        <w:bidi w:val="0"/>
        <w:ind w:left="0" w:right="0" w:firstLine="567"/>
        <w:jc w:val="center"/>
        <w:rPr/>
      </w:pPr>
      <w:r>
        <w:rPr/>
        <w:drawing>
          <wp:inline distT="0" distB="0" distL="0" distR="0">
            <wp:extent cx="6159500" cy="212217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BodyText3"/>
        <w:widowControl/>
        <w:tabs>
          <w:tab w:val="clear" w:pos="709"/>
          <w:tab w:val="left" w:pos="4678" w:leader="none"/>
        </w:tabs>
        <w:suppressAutoHyphens w:val="true"/>
        <w:bidi w:val="0"/>
        <w:ind w:left="0" w:right="0" w:firstLine="567"/>
        <w:jc w:val="both"/>
        <w:rPr/>
      </w:pPr>
      <w:r>
        <w:rPr>
          <w:color w:val="000000"/>
          <w:szCs w:val="28"/>
        </w:rPr>
        <w:t xml:space="preserve">В выданных предписаниях к исполнению предложено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28</w:t>
      </w:r>
      <w:r>
        <w:rPr>
          <w:b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мероприяти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й.</w:t>
      </w:r>
      <w:r>
        <w:rPr>
          <w:color w:val="000000"/>
          <w:szCs w:val="28"/>
        </w:rPr>
        <w:t xml:space="preserve"> Выполнено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10</w:t>
      </w:r>
      <w:r>
        <w:rPr>
          <w:b/>
          <w:bCs/>
          <w:color w:val="000000"/>
          <w:szCs w:val="28"/>
        </w:rPr>
        <w:t xml:space="preserve"> мероприяти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й</w:t>
      </w:r>
      <w:r>
        <w:rPr>
          <w:color w:val="000000"/>
          <w:szCs w:val="28"/>
        </w:rPr>
        <w:t xml:space="preserve">, что составляет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71,43</w:t>
      </w:r>
      <w:r>
        <w:rPr>
          <w:b/>
          <w:color w:val="000000"/>
          <w:szCs w:val="28"/>
        </w:rPr>
        <w:t xml:space="preserve"> %</w:t>
      </w:r>
      <w:r>
        <w:rPr>
          <w:color w:val="000000"/>
          <w:szCs w:val="28"/>
        </w:rPr>
        <w:t xml:space="preserve"> от общего количества предложенных мероприятий к устранению, срок устранения которых истёк.</w:t>
      </w:r>
    </w:p>
    <w:p>
      <w:pPr>
        <w:pStyle w:val="Normal"/>
        <w:widowControl/>
        <w:suppressAutoHyphens w:val="true"/>
        <w:bidi w:val="0"/>
        <w:ind w:left="0" w:right="0" w:firstLine="567"/>
        <w:jc w:val="center"/>
        <w:rPr/>
      </w:pPr>
      <w:r>
        <w:rPr/>
        <w:drawing>
          <wp:inline distT="0" distB="0" distL="0" distR="0">
            <wp:extent cx="5758815" cy="2063115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ind w:left="0" w:righ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BodyText3"/>
        <w:ind w:left="0" w:right="0" w:firstLine="567"/>
        <w:rPr/>
      </w:pPr>
      <w:r>
        <w:rPr>
          <w:color w:val="000000"/>
          <w:szCs w:val="28"/>
        </w:rPr>
        <w:t>За выявленные нарушения в области гражданской обороны составлено</w:t>
        <w:br/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5</w:t>
      </w:r>
      <w:r>
        <w:rPr>
          <w:b/>
          <w:color w:val="000000"/>
          <w:szCs w:val="28"/>
        </w:rPr>
        <w:t xml:space="preserve"> протоколов об административных правонарушениях</w:t>
      </w:r>
      <w:r>
        <w:rPr>
          <w:color w:val="000000"/>
          <w:szCs w:val="28"/>
        </w:rPr>
        <w:t>.</w:t>
      </w:r>
    </w:p>
    <w:p>
      <w:pPr>
        <w:pStyle w:val="BodyText3"/>
        <w:ind w:left="0" w:righ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Протоколы об административных правонарушениях были составлены: </w:t>
      </w:r>
    </w:p>
    <w:p>
      <w:pPr>
        <w:pStyle w:val="BodyText3"/>
        <w:ind w:left="0" w:right="0" w:firstLine="567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2</w:t>
      </w:r>
      <w:r>
        <w:rPr>
          <w:b/>
          <w:bCs/>
          <w:color w:val="000000"/>
          <w:szCs w:val="28"/>
        </w:rPr>
        <w:t xml:space="preserve"> протокол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а</w:t>
      </w:r>
      <w:r>
        <w:rPr>
          <w:color w:val="000000"/>
          <w:szCs w:val="28"/>
        </w:rPr>
        <w:t xml:space="preserve"> на должностных лиц</w:t>
      </w:r>
    </w:p>
    <w:p>
      <w:pPr>
        <w:pStyle w:val="BodyText3"/>
        <w:ind w:left="0" w:right="0" w:firstLine="567"/>
        <w:rPr/>
      </w:pP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3</w:t>
      </w:r>
      <w:r>
        <w:rPr>
          <w:b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протокол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а</w:t>
      </w:r>
      <w:r>
        <w:rPr>
          <w:color w:val="000000"/>
          <w:szCs w:val="28"/>
        </w:rPr>
        <w:t xml:space="preserve"> на юридических лиц </w:t>
      </w:r>
    </w:p>
    <w:p>
      <w:pPr>
        <w:pStyle w:val="BodyText3"/>
        <w:ind w:left="0" w:right="0" w:firstLine="567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3"/>
        <w:widowControl/>
        <w:suppressAutoHyphens w:val="true"/>
        <w:bidi w:val="0"/>
        <w:ind w:left="0" w:right="0" w:firstLine="567"/>
        <w:jc w:val="center"/>
        <w:rPr/>
      </w:pPr>
      <w:r>
        <w:rPr/>
        <w:drawing>
          <wp:inline distT="0" distB="0" distL="0" distR="0">
            <wp:extent cx="5731510" cy="2477135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567"/>
        <w:jc w:val="both"/>
        <w:rPr/>
      </w:pPr>
      <w:r>
        <w:rPr>
          <w:sz w:val="28"/>
        </w:rPr>
        <w:t>Все составленные протоколы были приняты для рассмотрения мировыми судами</w:t>
      </w:r>
      <w:r>
        <w:rPr>
          <w:sz w:val="28"/>
          <w:szCs w:val="28"/>
        </w:rPr>
        <w:t xml:space="preserve">. По результатам рассмотрения принято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5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решени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й</w:t>
      </w:r>
      <w:r>
        <w:rPr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Все</w:t>
      </w:r>
      <w:r>
        <w:rPr>
          <w:sz w:val="28"/>
          <w:szCs w:val="28"/>
        </w:rPr>
        <w:t xml:space="preserve"> решения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с</w:t>
      </w:r>
      <w:r>
        <w:rPr>
          <w:sz w:val="28"/>
          <w:szCs w:val="28"/>
        </w:rPr>
        <w:t xml:space="preserve"> административным штрафом.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67"/>
        <w:jc w:val="center"/>
        <w:rPr/>
      </w:pPr>
      <w:r>
        <w:rPr/>
        <w:drawing>
          <wp:inline distT="0" distB="0" distL="0" distR="0">
            <wp:extent cx="6054725" cy="2595245"/>
            <wp:effectExtent l="0" t="0" r="0" b="0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highlight w:val="yellow"/>
        </w:rPr>
      </w:pPr>
      <w:r>
        <w:rPr>
          <w:highlight w:val="yellow"/>
        </w:rPr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 xml:space="preserve">За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2022 год</w:t>
      </w:r>
      <w:r>
        <w:rPr>
          <w:color w:val="000000"/>
          <w:szCs w:val="28"/>
        </w:rPr>
        <w:t xml:space="preserve"> проведен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о 26</w:t>
      </w:r>
      <w:r>
        <w:rPr>
          <w:color w:val="000000"/>
          <w:szCs w:val="28"/>
        </w:rPr>
        <w:t xml:space="preserve"> мероприяти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й</w:t>
      </w:r>
      <w:r>
        <w:rPr>
          <w:color w:val="000000"/>
          <w:szCs w:val="28"/>
        </w:rPr>
        <w:t xml:space="preserve">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по контролю, проведенных органами прокуратуры Российской Федерации с привлечением должностных лиц органов, осуществляющих федеральный государственный надзор, за выполнением обязательных требований в области гражданской обороны.</w:t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 xml:space="preserve">За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2022 год</w:t>
      </w:r>
      <w:r>
        <w:rPr>
          <w:color w:val="000000"/>
        </w:rPr>
        <w:t xml:space="preserve"> должностными лицами управления были организованы и проведены следующие мероприятия, направленные на профилактику нарушений обязательных требований в области гражданской обороны:</w:t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>–</w:t>
      </w:r>
      <w:r>
        <w:rPr>
          <w:color w:val="000000"/>
        </w:rPr>
        <w:t xml:space="preserve"> </w:t>
      </w:r>
      <w:r>
        <w:rPr>
          <w:color w:val="000000"/>
        </w:rPr>
        <w:t xml:space="preserve">проведено профилактических визитов, в отношении объектов надзора высокого и значительного риска </w:t>
      </w:r>
      <w:r>
        <w:rPr>
          <w:color w:val="000000"/>
          <w:szCs w:val="28"/>
        </w:rPr>
        <w:t xml:space="preserve">–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104</w:t>
      </w:r>
      <w:r>
        <w:rPr>
          <w:color w:val="000000"/>
          <w:szCs w:val="28"/>
        </w:rPr>
        <w:t>;</w:t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>проведено консультаций, инструктажей, по разъяснению обязательных требований –</w:t>
      </w:r>
      <w:r>
        <w:rPr>
          <w:color w:val="C9211E"/>
          <w:szCs w:val="28"/>
        </w:rPr>
        <w:t xml:space="preserve"> </w:t>
      </w:r>
      <w:r>
        <w:rPr>
          <w:b/>
          <w:bCs/>
          <w:color w:val="000000"/>
          <w:szCs w:val="28"/>
        </w:rPr>
        <w:t>294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color w:val="000000"/>
          <w:szCs w:val="28"/>
        </w:rPr>
        <w:t>ед.;</w:t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 xml:space="preserve">проведено семинаров, вебинаров, конференций, заседаний рабочих групп по разъяснению обязательных требований – </w:t>
      </w:r>
      <w:r>
        <w:rPr>
          <w:b/>
          <w:bCs/>
          <w:color w:val="000000"/>
          <w:szCs w:val="28"/>
        </w:rPr>
        <w:t>5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color w:val="000000"/>
          <w:szCs w:val="28"/>
        </w:rPr>
        <w:t>ед.;</w:t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 xml:space="preserve">обеспечено </w:t>
      </w:r>
      <w:r>
        <w:rPr>
          <w:color w:val="000000"/>
        </w:rPr>
        <w:t xml:space="preserve">обобщение практики осуществления федерального государственного надзора и размещение на официальных сайтах в информационно–телекоммуникационной сети «Интернет» соответствующих обобщений – </w:t>
      </w:r>
      <w:r>
        <w:rPr>
          <w:rFonts w:eastAsia="Times New Roman" w:cs="Times New Roman"/>
          <w:b/>
          <w:bCs/>
          <w:color w:val="000000"/>
          <w:sz w:val="28"/>
          <w:szCs w:val="24"/>
          <w:lang w:val="ru-RU" w:eastAsia="zh-CN" w:bidi="ar-SA"/>
        </w:rPr>
        <w:t>2</w:t>
      </w:r>
      <w:r>
        <w:rPr>
          <w:color w:val="000000"/>
        </w:rPr>
        <w:t>;</w:t>
      </w:r>
    </w:p>
    <w:p>
      <w:pPr>
        <w:pStyle w:val="BodyText3"/>
        <w:ind w:left="0" w:right="-8" w:firstLine="567"/>
        <w:rPr/>
      </w:pPr>
      <w:r>
        <w:rPr>
          <w:color w:val="000000"/>
        </w:rPr>
        <w:t xml:space="preserve">– </w:t>
      </w:r>
      <w:r>
        <w:rPr>
          <w:color w:val="000000"/>
        </w:rPr>
        <w:t xml:space="preserve">распространено памяток по действиям населения при </w:t>
      </w:r>
      <w:r>
        <w:rPr>
          <w:rFonts w:eastAsia="Times New Roman" w:cs="Times New Roman"/>
          <w:color w:val="000000"/>
          <w:sz w:val="28"/>
          <w:szCs w:val="24"/>
          <w:lang w:val="ru-RU" w:eastAsia="zh-CN" w:bidi="ar-SA"/>
        </w:rPr>
        <w:t>сигналах ГО</w:t>
      </w:r>
      <w:r>
        <w:rPr>
          <w:color w:val="000000"/>
        </w:rPr>
        <w:t xml:space="preserve"> – </w:t>
      </w: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33765</w:t>
      </w:r>
      <w:r>
        <w:rPr>
          <w:b/>
          <w:color w:val="C9211E"/>
        </w:rPr>
        <w:t xml:space="preserve"> </w:t>
      </w:r>
      <w:r>
        <w:rPr>
          <w:color w:val="000000"/>
        </w:rPr>
        <w:t>шт.;</w:t>
      </w:r>
    </w:p>
    <w:p>
      <w:pPr>
        <w:pStyle w:val="BodyText3"/>
        <w:ind w:left="0" w:right="-8" w:firstLine="567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3"/>
        <w:ind w:left="0" w:right="-8" w:hanging="0"/>
        <w:jc w:val="center"/>
        <w:rPr>
          <w:highlight w:val="yellow"/>
        </w:rPr>
      </w:pPr>
      <w:r>
        <w:rPr>
          <w:highlight w:val="yellow"/>
        </w:rPr>
      </w:r>
    </w:p>
    <w:p>
      <w:pPr>
        <w:pStyle w:val="BodyText3"/>
        <w:ind w:left="0" w:right="-8" w:hanging="0"/>
        <w:rPr>
          <w:color w:val="000000"/>
          <w:szCs w:val="28"/>
          <w:highlight w:val="yellow"/>
        </w:rPr>
      </w:pPr>
      <w:r>
        <w:rPr>
          <w:color w:val="000000"/>
          <w:szCs w:val="28"/>
          <w:highlight w:val="yellow"/>
        </w:rPr>
      </w:r>
    </w:p>
    <w:p>
      <w:pPr>
        <w:pStyle w:val="BodyText3"/>
        <w:ind w:left="0" w:right="0" w:firstLine="567"/>
        <w:rPr>
          <w:color w:val="000000"/>
          <w:szCs w:val="28"/>
          <w:highlight w:val="yellow"/>
        </w:rPr>
      </w:pPr>
      <w:r>
        <w:rPr>
          <w:color w:val="000000"/>
          <w:szCs w:val="28"/>
          <w:highlight w:val="yellow"/>
        </w:rPr>
      </w:r>
    </w:p>
    <w:p>
      <w:pPr>
        <w:pStyle w:val="BodyText3"/>
        <w:ind w:left="0" w:right="0" w:firstLine="567"/>
        <w:rPr>
          <w:color w:val="000000"/>
          <w:szCs w:val="28"/>
        </w:rPr>
      </w:pPr>
      <w:r>
        <w:rPr/>
      </w:r>
    </w:p>
    <w:sectPr>
      <w:type w:val="nextPage"/>
      <w:pgSz w:w="11906" w:h="16838"/>
      <w:pgMar w:left="1134" w:right="1134" w:header="0" w:top="650" w:footer="0" w:bottom="53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Body Text Indent"/>
    <w:basedOn w:val="Style15"/>
    <w:pPr>
      <w:ind w:left="0" w:right="0" w:firstLine="210"/>
    </w:pPr>
    <w:rPr/>
  </w:style>
  <w:style w:type="paragraph" w:styleId="BodyText3">
    <w:name w:val="Body Text 3"/>
    <w:basedOn w:val="Normal"/>
    <w:qFormat/>
    <w:pPr>
      <w:jc w:val="both"/>
    </w:pPr>
    <w:rPr>
      <w:color w:val="008000"/>
      <w:sz w:val="28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3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4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5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6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8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9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Общее количество запланированных плановых проверок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25560">
          <a:noFill/>
        </a:ln>
      </c:spPr>
    </c:sideWall>
    <c:backWall>
      <c:spPr>
        <a:noFill/>
        <a:ln w="25560">
          <a:noFill/>
        </a:ln>
      </c:spPr>
    </c:backWall>
    <c:plotArea>
      <c:layout>
        <c:manualLayout>
          <c:layoutTarget val="inner"/>
          <c:xMode val="edge"/>
          <c:yMode val="edge"/>
          <c:x val="0.0383125"/>
          <c:y val="0.251111111111111"/>
          <c:w val="0.96075"/>
          <c:h val="0.6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2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1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73</c:v>
                </c:pt>
                <c:pt idx="1">
                  <c:v>70</c:v>
                </c:pt>
                <c:pt idx="2">
                  <c:v>79</c:v>
                </c:pt>
              </c:numCache>
            </c:numRef>
          </c:val>
        </c:ser>
        <c:gapWidth val="150"/>
        <c:shape val="box"/>
        <c:axId val="61356206"/>
        <c:axId val="69635653"/>
        <c:axId val="0"/>
      </c:bar3DChart>
      <c:catAx>
        <c:axId val="61356206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1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69635653"/>
        <c:crosses val="autoZero"/>
        <c:auto val="1"/>
        <c:lblAlgn val="ctr"/>
        <c:lblOffset val="100"/>
        <c:noMultiLvlLbl val="0"/>
      </c:catAx>
      <c:valAx>
        <c:axId val="69635653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61356206"/>
        <c:crosses val="autoZero"/>
        <c:crossBetween val="between"/>
      </c:valAx>
    </c:plotArea>
    <c:plotVisOnly val="1"/>
    <c:dispBlanksAs val="gap"/>
  </c:chart>
  <c:spPr>
    <a:noFill/>
    <a:ln w="9360"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Количество плановых и внеплановых проверок в области ГО</a:t>
            </a:r>
          </a:p>
        </c:rich>
      </c:tx>
      <c:layout>
        <c:manualLayout>
          <c:xMode val="edge"/>
          <c:yMode val="edge"/>
          <c:x val="0.0484973558622469"/>
          <c:y val="0"/>
        </c:manualLayout>
      </c:layout>
      <c:overlay val="0"/>
      <c:spPr>
        <a:noFill/>
        <a:ln>
          <a:noFill/>
        </a:ln>
      </c:spPr>
    </c:title>
    <c:autoTitleDeleted val="0"/>
    <c:view3D>
      <c:rotX val="14"/>
      <c:rotY val="19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325625"/>
          <c:y val="0.108777777777778"/>
          <c:w val="0.8214375"/>
          <c:h val="0.4485555555555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2020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5"/>
                <c:pt idx="0">
                  <c:v>Общее количество проверок</c:v>
                </c:pt>
                <c:pt idx="1">
                  <c:v>Плановые проверки</c:v>
                </c:pt>
                <c:pt idx="2">
                  <c:v>Плановые проверки ОМСУ</c:v>
                </c:pt>
                <c:pt idx="3">
                  <c:v>Внеплановые проверки </c:v>
                </c:pt>
                <c:pt idx="4">
                  <c:v>Внеплановые проверки ОМСУ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104</c:v>
                </c:pt>
                <c:pt idx="1">
                  <c:v>57</c:v>
                </c:pt>
                <c:pt idx="2">
                  <c:v>18</c:v>
                </c:pt>
                <c:pt idx="3">
                  <c:v>47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2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3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4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dLbl>
              <c:idx val="0"/>
              <c:numFmt formatCode="General" sourceLinked="1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1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1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General" sourceLinked="1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0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5"/>
                <c:pt idx="0">
                  <c:v>Общее количество проверок</c:v>
                </c:pt>
                <c:pt idx="1">
                  <c:v>Плановые проверки</c:v>
                </c:pt>
                <c:pt idx="2">
                  <c:v>Плановые проверки ОМСУ</c:v>
                </c:pt>
                <c:pt idx="3">
                  <c:v>Внеплановые проверки </c:v>
                </c:pt>
                <c:pt idx="4">
                  <c:v>Внеплановые проверки ОМСУ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119</c:v>
                </c:pt>
                <c:pt idx="1">
                  <c:v>59</c:v>
                </c:pt>
                <c:pt idx="2">
                  <c:v>10</c:v>
                </c:pt>
                <c:pt idx="3">
                  <c:v>60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2022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Pt>
            <c:idx val="2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Pt>
            <c:idx val="3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5"/>
                <c:pt idx="0">
                  <c:v>Общее количество проверок</c:v>
                </c:pt>
                <c:pt idx="1">
                  <c:v>Плановые проверки</c:v>
                </c:pt>
                <c:pt idx="2">
                  <c:v>Плановые проверки ОМСУ</c:v>
                </c:pt>
                <c:pt idx="3">
                  <c:v>Внеплановые проверки </c:v>
                </c:pt>
                <c:pt idx="4">
                  <c:v>Внеплановые проверки ОМСУ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5"/>
                <c:pt idx="0">
                  <c:v>22</c:v>
                </c:pt>
                <c:pt idx="1">
                  <c:v>18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gapWidth val="150"/>
        <c:shape val="box"/>
        <c:axId val="17627092"/>
        <c:axId val="61659692"/>
        <c:axId val="0"/>
      </c:bar3DChart>
      <c:catAx>
        <c:axId val="17627092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8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61659692"/>
        <c:crosses val="autoZero"/>
        <c:auto val="1"/>
        <c:lblAlgn val="ctr"/>
        <c:lblOffset val="100"/>
        <c:noMultiLvlLbl val="0"/>
      </c:catAx>
      <c:valAx>
        <c:axId val="61659692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76270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75"/>
          <c:y val="0.212111111111111"/>
          <c:w val="0.180136258516157"/>
          <c:h val="0.563951550172241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Количество выданных предписаний в области ГО</a:t>
            </a:r>
          </a:p>
        </c:rich>
      </c:tx>
      <c:layout>
        <c:manualLayout>
          <c:xMode val="edge"/>
          <c:yMode val="edge"/>
          <c:x val="0.192471798468642"/>
          <c:y val="0.00475059382422803"/>
        </c:manualLayout>
      </c:layout>
      <c:overlay val="0"/>
      <c:spPr>
        <a:noFill/>
        <a:ln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705625"/>
          <c:y val="0.162555555555556"/>
          <c:w val="0.7455"/>
          <c:h val="0.6545555555555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2020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Общее количество предписаний</c:v>
                </c:pt>
                <c:pt idx="1">
                  <c:v>Количество предписаний ОМСУ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60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Общее количество предписаний</c:v>
                </c:pt>
                <c:pt idx="1">
                  <c:v>Количество предписаний ОМСУ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81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2022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Общее количество предписаний</c:v>
                </c:pt>
                <c:pt idx="1">
                  <c:v>Количество предписаний ОМСУ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gapWidth val="150"/>
        <c:shape val="box"/>
        <c:axId val="64095533"/>
        <c:axId val="15364785"/>
        <c:axId val="0"/>
      </c:bar3DChart>
      <c:catAx>
        <c:axId val="64095533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8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5364785"/>
        <c:crosses val="autoZero"/>
        <c:auto val="1"/>
        <c:lblAlgn val="ctr"/>
        <c:lblOffset val="100"/>
        <c:noMultiLvlLbl val="0"/>
      </c:catAx>
      <c:valAx>
        <c:axId val="15364785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64095533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6625"/>
          <c:y val="0.145333333333333"/>
          <c:w val="0.171385711606975"/>
          <c:h val="0.854317146349594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Количество предложенных мероприятий в области ГО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641875"/>
          <c:y val="0.197"/>
          <c:w val="0.7345"/>
          <c:h val="0.6784444444444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2020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1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Количество мероприятий ОМСУ</c:v>
                </c:pt>
                <c:pt idx="1">
                  <c:v>Общее количество мероприятий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115</c:v>
                </c:pt>
                <c:pt idx="1">
                  <c:v>1323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Количество мероприятий ОМСУ</c:v>
                </c:pt>
                <c:pt idx="1">
                  <c:v>Общее количество мероприятий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41</c:v>
                </c:pt>
                <c:pt idx="1">
                  <c:v>1245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2022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1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Количество мероприятий ОМСУ</c:v>
                </c:pt>
                <c:pt idx="1">
                  <c:v>Общее количество мероприятий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0</c:v>
                </c:pt>
                <c:pt idx="1">
                  <c:v>28</c:v>
                </c:pt>
              </c:numCache>
            </c:numRef>
          </c:val>
        </c:ser>
        <c:gapWidth val="150"/>
        <c:shape val="box"/>
        <c:axId val="88358624"/>
        <c:axId val="13030631"/>
        <c:axId val="0"/>
      </c:bar3DChart>
      <c:catAx>
        <c:axId val="88358624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3030631"/>
        <c:crosses val="autoZero"/>
        <c:auto val="1"/>
        <c:lblAlgn val="ctr"/>
        <c:lblOffset val="100"/>
        <c:noMultiLvlLbl val="0"/>
      </c:catAx>
      <c:valAx>
        <c:axId val="13030631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88358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76875"/>
          <c:y val="0.19"/>
          <c:w val="0.169073067066692"/>
          <c:h val="0.696521835759529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Количество составленных протоколов в области ГО</a:t>
            </a:r>
          </a:p>
        </c:rich>
      </c:tx>
      <c:layout>
        <c:manualLayout>
          <c:xMode val="edge"/>
          <c:yMode val="edge"/>
          <c:x val="0.203831658291457"/>
          <c:y val="0.00552325581395349"/>
        </c:manualLayout>
      </c:layout>
      <c:overlay val="0"/>
      <c:spPr>
        <a:noFill/>
        <a:ln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59125"/>
          <c:y val="0.162222222222222"/>
          <c:w val="0.7731875"/>
          <c:h val="0.6295555555555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2020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протоколов</c:v>
                </c:pt>
                <c:pt idx="1">
                  <c:v>на должностных лиц</c:v>
                </c:pt>
                <c:pt idx="2">
                  <c:v>на юридических лиц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63</c:v>
                </c:pt>
                <c:pt idx="1">
                  <c:v>10</c:v>
                </c:pt>
                <c:pt idx="2">
                  <c:v>53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2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1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протоколов</c:v>
                </c:pt>
                <c:pt idx="1">
                  <c:v>на должностных лиц</c:v>
                </c:pt>
                <c:pt idx="2">
                  <c:v>на юридических лиц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89</c:v>
                </c:pt>
                <c:pt idx="1">
                  <c:v>11</c:v>
                </c:pt>
                <c:pt idx="2">
                  <c:v>78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2022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Pt>
            <c:idx val="2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1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протоколов</c:v>
                </c:pt>
                <c:pt idx="1">
                  <c:v>на должностных лиц</c:v>
                </c:pt>
                <c:pt idx="2">
                  <c:v>на юридических лиц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gapWidth val="150"/>
        <c:shape val="box"/>
        <c:axId val="33340707"/>
        <c:axId val="88315307"/>
        <c:axId val="0"/>
      </c:bar3DChart>
      <c:catAx>
        <c:axId val="33340707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88315307"/>
        <c:crosses val="autoZero"/>
        <c:auto val="1"/>
        <c:lblAlgn val="ctr"/>
        <c:lblOffset val="100"/>
        <c:noMultiLvlLbl val="0"/>
      </c:catAx>
      <c:valAx>
        <c:axId val="88315307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33340707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24375"/>
          <c:y val="0.162111111111111"/>
          <c:w val="0.15625976623539"/>
          <c:h val="0.674408267585287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Решения по рассмотрению административных протоколов</a:t>
            </a:r>
          </a:p>
        </c:rich>
      </c:tx>
      <c:layout>
        <c:manualLayout>
          <c:xMode val="edge"/>
          <c:yMode val="edge"/>
          <c:x val="0.203769770484005"/>
          <c:y val="0.0473085460599334"/>
        </c:manualLayout>
      </c:layout>
      <c:overlay val="0"/>
      <c:spPr>
        <a:noFill/>
        <a:ln>
          <a:noFill/>
        </a:ln>
      </c:spPr>
    </c:title>
    <c:autoTitleDeleted val="0"/>
    <c:view3D>
      <c:rotX val="10"/>
      <c:rotY val="1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835"/>
          <c:y val="0.218555555555556"/>
          <c:w val="0.878125"/>
          <c:h val="0.6596666666666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2020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1"/>
              <c:txPr>
                <a:bodyPr/>
                <a:lstStyle/>
                <a:p>
                  <a:pPr>
                    <a:defRPr b="1" sz="943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943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943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2022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943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gapWidth val="150"/>
        <c:shape val="box"/>
        <c:axId val="47482013"/>
        <c:axId val="97159892"/>
        <c:axId val="0"/>
      </c:bar3DChart>
      <c:catAx>
        <c:axId val="47482013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7159892"/>
        <c:crosses val="autoZero"/>
        <c:auto val="1"/>
        <c:lblAlgn val="ctr"/>
        <c:lblOffset val="100"/>
        <c:noMultiLvlLbl val="0"/>
      </c:catAx>
      <c:valAx>
        <c:axId val="97159892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0.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47482013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"/>
          <c:y val="0.883666666666667"/>
          <c:w val="0.889868116757297"/>
          <c:h val="0.101122346927436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1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LibreOffice_project/72d9d5113b23a0ed474720f9d366fcde9a2744dd</Application>
  <Pages>4</Pages>
  <Words>657</Words>
  <Characters>4779</Characters>
  <CharactersWithSpaces>5429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2024-01-17T14:58:05Z</dcterms:modified>
  <cp:revision>2</cp:revision>
  <dc:subject/>
  <dc:title/>
</cp:coreProperties>
</file>