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harts/_rels/chart6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/>
          <w:b/>
          <w:bCs/>
          <w:iCs/>
          <w:color w:val="auto"/>
          <w:sz w:val="28"/>
          <w:szCs w:val="30"/>
          <w:lang w:val="ru-RU" w:eastAsia="zh-CN" w:bidi="ar-SA"/>
        </w:rPr>
        <w:t>Осуществление</w:t>
      </w:r>
      <w:r>
        <w:rPr>
          <w:b/>
          <w:bCs/>
          <w:iCs/>
          <w:sz w:val="28"/>
          <w:szCs w:val="30"/>
        </w:rPr>
        <w:t xml:space="preserve"> федерального государственного надзора</w:t>
        <w:br/>
        <w:t>в области гражданской обороны</w:t>
      </w:r>
    </w:p>
    <w:p>
      <w:pPr>
        <w:pStyle w:val="Normal"/>
        <w:jc w:val="center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 xml:space="preserve">На территории Челябинской области взято на учёт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1250</w:t>
      </w:r>
      <w:r>
        <w:rPr>
          <w:sz w:val="28"/>
          <w:szCs w:val="28"/>
        </w:rPr>
        <w:t xml:space="preserve"> объектов, подлежащих </w:t>
      </w:r>
      <w:r>
        <w:rPr>
          <w:b w:val="false"/>
          <w:bCs w:val="false"/>
          <w:iCs/>
          <w:color w:val="000000"/>
          <w:sz w:val="28"/>
          <w:szCs w:val="28"/>
        </w:rPr>
        <w:t>федеральному государственному надзору в области гражданской обороны</w:t>
      </w:r>
      <w:r>
        <w:rPr>
          <w:sz w:val="28"/>
          <w:szCs w:val="28"/>
        </w:rPr>
        <w:t>, из них:</w:t>
      </w:r>
    </w:p>
    <w:p>
      <w:pPr>
        <w:pStyle w:val="Normal"/>
        <w:tabs>
          <w:tab w:val="clear" w:pos="709"/>
          <w:tab w:val="left" w:pos="559" w:leader="none"/>
        </w:tabs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4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02</w:t>
      </w:r>
      <w:r>
        <w:rPr>
          <w:color w:val="000000"/>
          <w:sz w:val="28"/>
          <w:szCs w:val="28"/>
        </w:rPr>
        <w:t xml:space="preserve"> – организаци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и</w:t>
      </w:r>
      <w:r>
        <w:rPr>
          <w:color w:val="000000"/>
          <w:sz w:val="28"/>
          <w:szCs w:val="28"/>
        </w:rPr>
        <w:t>, отнесённых к категории гражданской обороны;</w:t>
      </w:r>
    </w:p>
    <w:p>
      <w:pPr>
        <w:pStyle w:val="Normal"/>
        <w:tabs>
          <w:tab w:val="clear" w:pos="709"/>
          <w:tab w:val="left" w:pos="559" w:leader="none"/>
        </w:tabs>
        <w:ind w:left="0" w:right="0" w:firstLine="567"/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 xml:space="preserve">108 </w:t>
      </w:r>
      <w:r>
        <w:rPr>
          <w:color w:val="000000"/>
          <w:sz w:val="28"/>
          <w:szCs w:val="28"/>
        </w:rPr>
        <w:t>– организаций, эксплуатирующих ПОО и КВО;</w:t>
      </w:r>
    </w:p>
    <w:p>
      <w:pPr>
        <w:pStyle w:val="Normal"/>
        <w:tabs>
          <w:tab w:val="clear" w:pos="709"/>
          <w:tab w:val="left" w:pos="573" w:leader="none"/>
        </w:tabs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128</w:t>
      </w:r>
      <w:r>
        <w:rPr>
          <w:color w:val="000000"/>
          <w:sz w:val="28"/>
          <w:szCs w:val="28"/>
        </w:rPr>
        <w:t xml:space="preserve"> – организаций, имеющих на своём балансе объекты гражданской обороны;</w:t>
      </w:r>
    </w:p>
    <w:p>
      <w:pPr>
        <w:pStyle w:val="Normal"/>
        <w:tabs>
          <w:tab w:val="clear" w:pos="709"/>
          <w:tab w:val="left" w:pos="573" w:leader="none"/>
        </w:tabs>
        <w:ind w:left="0" w:right="0" w:firstLine="567"/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90</w:t>
      </w:r>
      <w:r>
        <w:rPr>
          <w:color w:val="000000"/>
          <w:sz w:val="28"/>
          <w:szCs w:val="28"/>
        </w:rPr>
        <w:t xml:space="preserve"> – организаций оборонно-промышленного комплекса;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522</w:t>
      </w:r>
      <w:r>
        <w:rPr>
          <w:color w:val="000000"/>
          <w:sz w:val="28"/>
          <w:szCs w:val="28"/>
        </w:rPr>
        <w:t xml:space="preserve"> – иные организации.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</w:t>
        <w:br/>
        <w:t>от 25.06.2021 № 1007 проведено категорирование объектов надзора в области гражданской обороны с присвоением следующих категорий рисков: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38</w:t>
      </w:r>
      <w:r>
        <w:rPr>
          <w:color w:val="000000"/>
          <w:sz w:val="28"/>
          <w:szCs w:val="28"/>
        </w:rPr>
        <w:t xml:space="preserve"> – категория высокого риска присвоена организациям, отнесённым в установленном порядке к категории особой важности по гражданской обороне, эксплуатирующим потенциально опасные 1 и 2 категории и критически важные объекты федерального уровня;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137</w:t>
      </w:r>
      <w:r>
        <w:rPr>
          <w:color w:val="000000"/>
          <w:sz w:val="28"/>
          <w:szCs w:val="28"/>
        </w:rPr>
        <w:t xml:space="preserve"> – категория значительного риска присвоена организациям, отнесённым в установленном порядке к первой категории по гражданской обороне, эксплуатирующим потенциально опасные объекты 3 и 4 категории, критически важные объекты регионального уровня, а также входящим в состав оборонно–промышленного комплекса;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827</w:t>
      </w:r>
      <w:r>
        <w:rPr>
          <w:color w:val="000000"/>
          <w:sz w:val="28"/>
          <w:szCs w:val="28"/>
        </w:rPr>
        <w:t xml:space="preserve"> – категория среднего риска присвоена организациям, отнесённым в установленном порядке ко второй категории по гражданской обороне,  эксплуатирующим потенциально опасные объекты 5 и 6 категории, критически важные объекты муниципального уровня, имеющим на своём балансе защитные сооружения гражданской обороны, обеспечивающие выполнение мероприятий местного и регионального уровня по гражданской обороне,  обеспечивающие выполнение мероприятий по гражданской обороне федеральных органов исполнительной власти и имеющих мобилизационные заказы;</w:t>
      </w:r>
    </w:p>
    <w:p>
      <w:pPr>
        <w:pStyle w:val="Normal"/>
        <w:ind w:left="0" w:right="0" w:firstLine="567"/>
        <w:jc w:val="both"/>
        <w:rPr/>
      </w:pPr>
      <w:r>
        <w:rPr>
          <w:b/>
          <w:bCs/>
          <w:color w:val="000000"/>
          <w:sz w:val="28"/>
          <w:szCs w:val="28"/>
        </w:rPr>
        <w:t>248</w:t>
      </w:r>
      <w:r>
        <w:rPr>
          <w:color w:val="000000"/>
          <w:sz w:val="28"/>
          <w:szCs w:val="28"/>
        </w:rPr>
        <w:t xml:space="preserve"> — категория низкого риска присвоена иным организациям.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Планирование мероприятий по проведению надзора (контроля) в области ГО осуществляется в установленном порядке с учётом полного охвата всех контролируемых объектов и установленной законодательством Российской Федерации периодичности проведения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контрольных (надзорных) мероприятий</w:t>
      </w:r>
      <w:r>
        <w:rPr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Порядок организации и осуществления государственного контроля (надзора) в 2023 году регламентирован постановлением Правительства Российской Федерации от 10.03.2022 № 336 (далее 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Постановлением № 336)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, которым установлен ряд ограничений при осуществлении федерального государственного надзора, планирование и осуществление контрольных (надзорных) мероприятий в отношении организаций, отнесённых к категории высокого риска.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 xml:space="preserve">План проведения плановых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контрольных (надзорных) мероприятий</w:t>
      </w:r>
      <w:r>
        <w:rPr>
          <w:sz w:val="28"/>
          <w:szCs w:val="28"/>
        </w:rPr>
        <w:t xml:space="preserve"> на</w:t>
      </w:r>
      <w:r>
        <w:rPr>
          <w:bCs/>
          <w:iCs/>
          <w:color w:val="000000"/>
          <w:sz w:val="28"/>
          <w:szCs w:val="30"/>
        </w:rPr>
        <w:t xml:space="preserve"> </w:t>
      </w:r>
      <w:r>
        <w:rPr>
          <w:bCs/>
          <w:iCs/>
          <w:sz w:val="28"/>
          <w:szCs w:val="30"/>
        </w:rPr>
        <w:t>202</w:t>
      </w:r>
      <w:r>
        <w:rPr>
          <w:rFonts w:eastAsia="Times New Roman" w:cs="Times New Roman"/>
          <w:bCs/>
          <w:iCs/>
          <w:color w:val="000000"/>
          <w:sz w:val="28"/>
          <w:szCs w:val="30"/>
          <w:lang w:val="ru-RU" w:eastAsia="zh-CN" w:bidi="ar-SA"/>
        </w:rPr>
        <w:t>3</w:t>
      </w:r>
      <w:r>
        <w:rPr>
          <w:sz w:val="28"/>
          <w:szCs w:val="28"/>
        </w:rPr>
        <w:t xml:space="preserve"> год в области ГО содерж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ит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16</w:t>
      </w:r>
      <w:r>
        <w:rPr>
          <w:sz w:val="28"/>
          <w:szCs w:val="28"/>
        </w:rPr>
        <w:t xml:space="preserve"> контрольных (надзорных) мероприяти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я</w:t>
      </w:r>
      <w:r>
        <w:rPr>
          <w:sz w:val="28"/>
          <w:szCs w:val="28"/>
        </w:rPr>
        <w:t xml:space="preserve"> в отношении организаций, отнесённых к категории высокого риска.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519420" cy="253111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ind w:left="0" w:right="0" w:firstLine="567"/>
        <w:jc w:val="both"/>
        <w:rPr>
          <w:rFonts w:eastAsia="Times New Roman" w:cs="Times New Roman"/>
          <w:color w:val="000000"/>
          <w:sz w:val="28"/>
          <w:szCs w:val="24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В</w:t>
      </w:r>
      <w:r>
        <w:rPr>
          <w:color w:val="000000"/>
          <w:sz w:val="28"/>
        </w:rPr>
        <w:t xml:space="preserve"> 2023 году проведено</w:t>
      </w:r>
      <w:r>
        <w:rPr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17</w:t>
      </w:r>
      <w:r>
        <w:rPr>
          <w:b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контрольных (надзорных) мероприятий</w:t>
      </w:r>
      <w:r>
        <w:rPr>
          <w:color w:val="000000"/>
          <w:sz w:val="28"/>
        </w:rPr>
        <w:t xml:space="preserve">, из них: 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16</w:t>
      </w:r>
      <w:r>
        <w:rPr>
          <w:b/>
          <w:color w:val="000000"/>
          <w:sz w:val="28"/>
        </w:rPr>
        <w:t xml:space="preserve"> планов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ых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4"/>
          <w:shd w:fill="auto" w:val="clear"/>
          <w:lang w:val="ru-RU" w:eastAsia="zh-CN" w:bidi="ar-SA"/>
        </w:rPr>
        <w:t>1</w:t>
      </w:r>
      <w:r>
        <w:rPr>
          <w:b/>
          <w:color w:val="000000"/>
          <w:sz w:val="28"/>
          <w:shd w:fill="auto" w:val="clear"/>
        </w:rPr>
        <w:t xml:space="preserve"> внепланов</w:t>
      </w:r>
      <w:r>
        <w:rPr>
          <w:rFonts w:eastAsia="Times New Roman" w:cs="Times New Roman"/>
          <w:b/>
          <w:color w:val="000000"/>
          <w:sz w:val="28"/>
          <w:szCs w:val="24"/>
          <w:shd w:fill="auto" w:val="clear"/>
          <w:lang w:val="ru-RU" w:eastAsia="zh-CN" w:bidi="ar-SA"/>
        </w:rPr>
        <w:t>ое</w:t>
      </w:r>
    </w:p>
    <w:p>
      <w:pPr>
        <w:pStyle w:val="BodyText3"/>
        <w:ind w:left="0" w:right="-8" w:firstLine="284"/>
        <w:jc w:val="center"/>
        <w:rPr/>
      </w:pPr>
      <w:r>
        <w:rPr/>
        <w:drawing>
          <wp:inline distT="0" distB="0" distL="0" distR="0">
            <wp:extent cx="5240020" cy="303212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BodyText3"/>
        <w:ind w:left="0" w:right="-8" w:firstLine="567"/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r>
    </w:p>
    <w:p>
      <w:pPr>
        <w:pStyle w:val="BodyText3"/>
        <w:ind w:left="0" w:right="0" w:firstLine="567"/>
        <w:rPr/>
      </w:pPr>
      <w:r>
        <w:rPr>
          <w:color w:val="000000"/>
          <w:shd w:fill="auto" w:val="clear"/>
        </w:rPr>
        <w:t xml:space="preserve">По результатам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контрольны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х (надзорных) мероприятий</w:t>
      </w:r>
      <w:r>
        <w:rPr>
          <w:color w:val="000000"/>
        </w:rPr>
        <w:t xml:space="preserve"> выдано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8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предписани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й</w:t>
      </w:r>
      <w:r>
        <w:rPr>
          <w:color w:val="000000"/>
          <w:shd w:fill="auto" w:val="clear"/>
        </w:rPr>
        <w:t>.</w:t>
      </w:r>
    </w:p>
    <w:p>
      <w:pPr>
        <w:pStyle w:val="BodyText3"/>
        <w:ind w:left="0" w:right="0" w:firstLine="567"/>
        <w:rPr>
          <w:color w:val="000000"/>
        </w:rPr>
      </w:pPr>
      <w:r>
        <w:rPr>
          <w:color w:val="000000"/>
        </w:rPr>
      </w:r>
    </w:p>
    <w:p>
      <w:pPr>
        <w:pStyle w:val="BodyText3"/>
        <w:widowControl/>
        <w:tabs>
          <w:tab w:val="clear" w:pos="709"/>
          <w:tab w:val="left" w:pos="4678" w:leader="none"/>
        </w:tabs>
        <w:suppressAutoHyphens w:val="true"/>
        <w:bidi w:val="0"/>
        <w:ind w:left="0" w:right="0" w:firstLine="567"/>
        <w:jc w:val="center"/>
        <w:rPr/>
      </w:pPr>
      <w:r>
        <w:rPr/>
        <w:drawing>
          <wp:inline distT="0" distB="0" distL="0" distR="0">
            <wp:extent cx="5673090" cy="196596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BodyText3"/>
        <w:widowControl/>
        <w:tabs>
          <w:tab w:val="clear" w:pos="709"/>
          <w:tab w:val="left" w:pos="4678" w:leader="none"/>
        </w:tabs>
        <w:suppressAutoHyphens w:val="true"/>
        <w:bidi w:val="0"/>
        <w:ind w:left="0" w:righ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3"/>
        <w:widowControl/>
        <w:tabs>
          <w:tab w:val="clear" w:pos="709"/>
          <w:tab w:val="left" w:pos="4678" w:leader="none"/>
        </w:tabs>
        <w:suppressAutoHyphens w:val="true"/>
        <w:bidi w:val="0"/>
        <w:ind w:left="0" w:righ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3"/>
        <w:widowControl/>
        <w:tabs>
          <w:tab w:val="clear" w:pos="709"/>
          <w:tab w:val="left" w:pos="4678" w:leader="none"/>
        </w:tabs>
        <w:suppressAutoHyphens w:val="true"/>
        <w:bidi w:val="0"/>
        <w:ind w:left="0" w:right="0" w:firstLine="567"/>
        <w:jc w:val="both"/>
        <w:rPr/>
      </w:pPr>
      <w:r>
        <w:rPr>
          <w:color w:val="000000"/>
          <w:szCs w:val="28"/>
        </w:rPr>
        <w:t>В выданн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ых</w:t>
      </w:r>
      <w:r>
        <w:rPr>
          <w:color w:val="000000"/>
          <w:szCs w:val="28"/>
        </w:rPr>
        <w:t xml:space="preserve"> предписани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ях</w:t>
      </w:r>
      <w:r>
        <w:rPr>
          <w:color w:val="000000"/>
          <w:szCs w:val="28"/>
        </w:rPr>
        <w:t xml:space="preserve"> к исполнению предложено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78 </w:t>
      </w:r>
      <w:r>
        <w:rPr>
          <w:b/>
          <w:bCs/>
          <w:color w:val="000000"/>
          <w:szCs w:val="28"/>
        </w:rPr>
        <w:t>мероприяти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й</w:t>
      </w:r>
      <w:r>
        <w:rPr>
          <w:b/>
          <w:bCs/>
          <w:color w:val="000000"/>
          <w:szCs w:val="28"/>
        </w:rPr>
        <w:br/>
      </w:r>
      <w:r>
        <w:rPr/>
        <w:drawing>
          <wp:inline distT="0" distB="0" distL="0" distR="0">
            <wp:extent cx="5708015" cy="205486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3"/>
        <w:widowControl/>
        <w:suppressAutoHyphens w:val="true"/>
        <w:bidi w:val="0"/>
        <w:ind w:left="0" w:right="0" w:firstLine="567"/>
        <w:jc w:val="both"/>
        <w:rPr/>
      </w:pPr>
      <w:r>
        <w:rPr>
          <w:color w:val="000000"/>
          <w:szCs w:val="28"/>
        </w:rPr>
        <w:t>За выявленные нарушения в области гражданской обороны составлено</w:t>
        <w:br/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10</w:t>
      </w:r>
      <w:r>
        <w:rPr>
          <w:b/>
          <w:color w:val="000000"/>
          <w:szCs w:val="28"/>
        </w:rPr>
        <w:t xml:space="preserve"> протокол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ов</w:t>
      </w:r>
      <w:r>
        <w:rPr>
          <w:b/>
          <w:color w:val="000000"/>
          <w:szCs w:val="28"/>
        </w:rPr>
        <w:t xml:space="preserve"> об административн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ых</w:t>
      </w:r>
      <w:r>
        <w:rPr>
          <w:b/>
          <w:color w:val="000000"/>
          <w:szCs w:val="28"/>
        </w:rPr>
        <w:t xml:space="preserve"> правонарушени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ях</w:t>
      </w:r>
      <w:r>
        <w:rPr>
          <w:color w:val="000000"/>
          <w:szCs w:val="28"/>
        </w:rPr>
        <w:t>.</w:t>
      </w:r>
    </w:p>
    <w:p>
      <w:pPr>
        <w:pStyle w:val="BodyText3"/>
        <w:ind w:left="0" w:right="0" w:firstLine="567"/>
        <w:rPr/>
      </w:pPr>
      <w:r>
        <w:rPr>
          <w:color w:val="000000"/>
          <w:szCs w:val="28"/>
        </w:rPr>
        <w:t>Все протоколы об административных правонарушениях были составлены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color w:val="000000"/>
          <w:szCs w:val="28"/>
        </w:rPr>
        <w:t xml:space="preserve"> на юридическ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их</w:t>
      </w:r>
      <w:r>
        <w:rPr>
          <w:color w:val="000000"/>
          <w:szCs w:val="28"/>
        </w:rPr>
        <w:t xml:space="preserve"> лиц </w:t>
      </w:r>
    </w:p>
    <w:p>
      <w:pPr>
        <w:pStyle w:val="BodyText3"/>
        <w:ind w:left="0" w:right="0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3"/>
        <w:widowControl/>
        <w:suppressAutoHyphens w:val="true"/>
        <w:bidi w:val="0"/>
        <w:ind w:left="0" w:right="0" w:firstLine="567"/>
        <w:jc w:val="center"/>
        <w:rPr/>
      </w:pPr>
      <w:r>
        <w:rPr/>
        <w:drawing>
          <wp:inline distT="0" distB="0" distL="0" distR="0">
            <wp:extent cx="5834380" cy="2520315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Все составленные протоколы были приняты для рассмотрения мировыми судами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. По результатам рассмотрения принято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10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решений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: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4 решения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— о наказании в виде административного штрафа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6 решений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—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о прекращении производства по делу</w:t>
      </w:r>
    </w:p>
    <w:p>
      <w:pPr>
        <w:pStyle w:val="Normal"/>
        <w:spacing w:lineRule="auto" w:line="240"/>
        <w:ind w:left="0" w:right="0"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r>
    </w:p>
    <w:p>
      <w:pPr>
        <w:pStyle w:val="Normal"/>
        <w:ind w:left="0" w:right="0" w:firstLine="567"/>
        <w:jc w:val="center"/>
        <w:rPr/>
      </w:pPr>
      <w:r>
        <w:rPr/>
        <w:drawing>
          <wp:inline distT="0" distB="0" distL="0" distR="0">
            <wp:extent cx="5320665" cy="2277745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left="0" w:right="0" w:firstLine="567"/>
        <w:jc w:val="center"/>
        <w:rPr/>
      </w:pPr>
      <w:r>
        <w:rPr/>
      </w:r>
    </w:p>
    <w:p>
      <w:pPr>
        <w:pStyle w:val="Normal"/>
        <w:ind w:left="0" w:right="0" w:firstLine="567"/>
        <w:jc w:val="center"/>
        <w:rPr/>
      </w:pPr>
      <w:r>
        <w:rPr/>
      </w:r>
    </w:p>
    <w:p>
      <w:pPr>
        <w:pStyle w:val="Normal"/>
        <w:ind w:left="0" w:right="0" w:firstLine="567"/>
        <w:jc w:val="center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5"/>
        <w:keepNext w:val="true"/>
        <w:keepLines/>
        <w:widowControl/>
        <w:suppressAutoHyphens w:val="true"/>
        <w:bidi w:val="0"/>
        <w:spacing w:before="0" w:after="0"/>
        <w:ind w:left="0" w:right="0" w:hanging="0"/>
        <w:jc w:val="center"/>
        <w:rPr>
          <w:szCs w:val="28"/>
        </w:rPr>
      </w:pPr>
      <w:r>
        <w:rPr>
          <w:color w:val="000000"/>
          <w:szCs w:val="28"/>
        </w:rPr>
        <w:t>2. Осуществление государственного надзора за реализацией органами</w:t>
      </w:r>
    </w:p>
    <w:p>
      <w:pPr>
        <w:pStyle w:val="5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государственной власти и органами местного самоуправления полномочий </w:t>
        <w:br/>
        <w:t>в области гражданской обороны</w:t>
      </w:r>
    </w:p>
    <w:p>
      <w:pPr>
        <w:pStyle w:val="Normal"/>
        <w:spacing w:before="0" w:after="0"/>
        <w:ind w:left="0" w:right="0" w:firstLine="42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 xml:space="preserve">На территории Челябинской области взято на учёт </w:t>
      </w:r>
      <w:r>
        <w:rPr>
          <w:b/>
          <w:color w:val="000000"/>
          <w:sz w:val="28"/>
          <w:szCs w:val="28"/>
        </w:rPr>
        <w:t>129</w:t>
      </w:r>
      <w:r>
        <w:rPr>
          <w:sz w:val="28"/>
          <w:szCs w:val="28"/>
        </w:rPr>
        <w:t xml:space="preserve"> объект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ов</w:t>
      </w:r>
      <w:r>
        <w:rPr>
          <w:sz w:val="28"/>
          <w:szCs w:val="28"/>
        </w:rPr>
        <w:t xml:space="preserve">, подлежащих </w:t>
      </w:r>
      <w:r>
        <w:rPr>
          <w:color w:val="000000"/>
          <w:sz w:val="28"/>
          <w:szCs w:val="28"/>
        </w:rPr>
        <w:t>государственному надзору за реализацией органами государственной власти и органами местного самоуправления полномочий в области гражданской обороны</w:t>
      </w:r>
      <w:r>
        <w:rPr>
          <w:sz w:val="28"/>
          <w:szCs w:val="28"/>
        </w:rPr>
        <w:t>, из них: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– территориальных орган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а </w:t>
      </w:r>
      <w:r>
        <w:rPr>
          <w:color w:val="000000"/>
          <w:sz w:val="28"/>
          <w:szCs w:val="28"/>
        </w:rPr>
        <w:t>федеральных органов исполнительной власти;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– органов исполнительной власти Челябинской области;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 – органов местного самоуправления (далее по тексту – ОМСУ), из них:</w:t>
        <w:br/>
        <w:t>12 – отнесённых к группам по ГО;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Постановлением Правительства Российской Федерации от 09.06.2022</w:t>
        <w:br/>
        <w:t xml:space="preserve">№ 1052, определен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обороны.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Порядок организации и осуществления государственного контроля (надзора)  регламентирован Постановлением № 336, которым установлен ряд ограничений при осуществлении государственного контроля (надзора). 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План проведения плановых проверок на</w:t>
      </w:r>
      <w:r>
        <w:rPr>
          <w:bCs/>
          <w:iCs/>
          <w:color w:val="000000"/>
          <w:sz w:val="28"/>
          <w:szCs w:val="30"/>
        </w:rPr>
        <w:t xml:space="preserve"> </w:t>
      </w:r>
      <w:r>
        <w:rPr>
          <w:bCs/>
          <w:iCs/>
          <w:sz w:val="28"/>
          <w:szCs w:val="30"/>
        </w:rPr>
        <w:t>202</w:t>
      </w:r>
      <w:r>
        <w:rPr>
          <w:rFonts w:eastAsia="Times New Roman" w:cs="Times New Roman"/>
          <w:bCs/>
          <w:iCs/>
          <w:color w:val="000000"/>
          <w:sz w:val="28"/>
          <w:szCs w:val="30"/>
          <w:lang w:val="ru-RU" w:eastAsia="zh-CN" w:bidi="ar-SA"/>
        </w:rPr>
        <w:t>3</w:t>
      </w:r>
      <w:r>
        <w:rPr>
          <w:sz w:val="28"/>
          <w:szCs w:val="28"/>
        </w:rPr>
        <w:t xml:space="preserve"> год в области ГО содерж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ал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43</w:t>
      </w:r>
      <w:r>
        <w:rPr>
          <w:sz w:val="28"/>
          <w:szCs w:val="28"/>
        </w:rPr>
        <w:t xml:space="preserve"> провер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ки</w:t>
      </w:r>
      <w:r>
        <w:rPr>
          <w:sz w:val="28"/>
          <w:szCs w:val="28"/>
        </w:rPr>
        <w:t xml:space="preserve"> в отношении 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органов исполнительной власти Челябинской области и органов местного самоуправления, из них:</w:t>
      </w:r>
    </w:p>
    <w:p>
      <w:pPr>
        <w:pStyle w:val="Normal"/>
        <w:ind w:left="0" w:right="0"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11 — в отношении  органов исполнительной власти Челябинской области;</w:t>
      </w:r>
    </w:p>
    <w:p>
      <w:pPr>
        <w:pStyle w:val="Normal"/>
        <w:ind w:left="0" w:right="0"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32 —  в отношении органов местного самоуправления.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В соответствии с Постановлением № 336 из плана проверок исключены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 w:eastAsia="zh-CN" w:bidi="ar-SA"/>
        </w:rPr>
        <w:t>43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 плановых проверки, в связи с че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h-CN" w:bidi="ar-SA"/>
        </w:rPr>
        <w:t>м</w:t>
      </w:r>
      <w:r>
        <w:rPr>
          <w:b w:val="false"/>
          <w:bCs w:val="false"/>
          <w:color w:val="000000"/>
          <w:sz w:val="28"/>
          <w:szCs w:val="28"/>
        </w:rPr>
        <w:t xml:space="preserve"> провер</w:t>
      </w:r>
      <w:r>
        <w:rPr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>ки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проводились.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 2023 год предписани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не выдавались.</w:t>
      </w:r>
    </w:p>
    <w:p>
      <w:pPr>
        <w:pStyle w:val="BodyText3"/>
        <w:ind w:left="0" w:right="0" w:firstLine="567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h-CN" w:bidi="ar-S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ротокола об административных правонарушениях не составлялись.</w:t>
        <w:br/>
      </w:r>
    </w:p>
    <w:p>
      <w:pPr>
        <w:pStyle w:val="BodyText3"/>
        <w:ind w:left="0" w:right="-8" w:firstLine="567"/>
        <w:rPr>
          <w:rFonts w:eastAsia="Times New Roman" w:cs="Times New Roman"/>
          <w:b/>
          <w:b/>
          <w:bCs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 xml:space="preserve">3.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Проведение профилактических мероприятий: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>–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 xml:space="preserve">проведено </w:t>
      </w:r>
      <w:r>
        <w:rPr>
          <w:color w:val="000000"/>
        </w:rPr>
        <w:t>профилактических визитов, в отношении объектов надзора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 xml:space="preserve">–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171</w:t>
      </w:r>
      <w:r>
        <w:rPr>
          <w:color w:val="000000"/>
          <w:szCs w:val="28"/>
        </w:rPr>
        <w:t>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проведено консультаций, инструктажей, по разъяснению обязательных требований –</w:t>
      </w:r>
      <w:r>
        <w:rPr>
          <w:color w:val="C9211E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531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д.;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проведено семинаров, вебинаров, конференций, заседаний рабочих групп по разъяснению обязательных требований –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5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д.;</w:t>
      </w:r>
    </w:p>
    <w:p>
      <w:pPr>
        <w:pStyle w:val="BodyText3"/>
        <w:ind w:left="0" w:right="-8" w:firstLine="567"/>
        <w:rPr/>
      </w:pPr>
      <w:r>
        <w:rPr>
          <w:color w:val="000000"/>
        </w:rPr>
        <w:t xml:space="preserve">– </w:t>
      </w:r>
      <w:r>
        <w:rPr>
          <w:color w:val="000000"/>
        </w:rPr>
        <w:t xml:space="preserve">в рамках проведения паводкоопасного и пожароопасного сезона, в рамках операции «Жилье» распространено памяток по действиям населения при </w:t>
      </w: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сигналах ГО</w:t>
      </w:r>
      <w:r>
        <w:rPr>
          <w:color w:val="000000"/>
        </w:rPr>
        <w:t xml:space="preserve"> –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33812</w:t>
      </w:r>
      <w:r>
        <w:rPr>
          <w:b/>
          <w:color w:val="C9211E"/>
        </w:rPr>
        <w:t xml:space="preserve"> </w:t>
      </w:r>
      <w:r>
        <w:rPr>
          <w:color w:val="000000"/>
        </w:rPr>
        <w:t>шт.;</w:t>
      </w:r>
    </w:p>
    <w:p>
      <w:pPr>
        <w:pStyle w:val="BodyText3"/>
        <w:widowControl/>
        <w:suppressAutoHyphens w:val="true"/>
        <w:bidi w:val="0"/>
        <w:spacing w:before="0" w:after="0"/>
        <w:ind w:left="0" w:right="-8" w:firstLine="567"/>
        <w:jc w:val="left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объявлено предостережений о недопустимости нарушения обязательных требований –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12</w:t>
      </w:r>
      <w:r>
        <w:rPr>
          <w:color w:val="000000"/>
          <w:szCs w:val="28"/>
        </w:rPr>
        <w:t>.</w:t>
      </w:r>
    </w:p>
    <w:sectPr>
      <w:type w:val="nextPage"/>
      <w:pgSz w:w="11906" w:h="16838"/>
      <w:pgMar w:left="1134" w:right="1134" w:header="0" w:top="663" w:footer="0" w:bottom="41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5">
    <w:name w:val="Heading 5"/>
    <w:basedOn w:val="Normal"/>
    <w:next w:val="Normal"/>
    <w:qFormat/>
    <w:pPr>
      <w:keepNext w:val="true"/>
      <w:keepLines/>
      <w:spacing w:before="40" w:after="0"/>
      <w:jc w:val="center"/>
      <w:outlineLvl w:val="4"/>
    </w:pPr>
    <w:rPr>
      <w:rFonts w:eastAsia="" w:cs=""/>
      <w:b/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3">
    <w:name w:val="Body Text 3"/>
    <w:basedOn w:val="Normal"/>
    <w:qFormat/>
    <w:pPr>
      <w:jc w:val="both"/>
    </w:pPr>
    <w:rPr>
      <w:color w:val="008000"/>
      <w:sz w:val="28"/>
    </w:rPr>
  </w:style>
  <w:style w:type="paragraph" w:styleId="Style18">
    <w:name w:val="Body Text Indent"/>
    <w:basedOn w:val="Style14"/>
    <w:pPr>
      <w:ind w:left="0" w:right="0" w:firstLine="21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6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8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Общее количество запланированных плановых
       контрольных (надзорных) мероприятий</a:t>
            </a:r>
          </a:p>
        </c:rich>
      </c:tx>
      <c:layout>
        <c:manualLayout>
          <c:xMode val="edge"/>
          <c:yMode val="edge"/>
          <c:x val="0.2378125"/>
          <c:y val="0"/>
        </c:manualLayout>
      </c:layout>
      <c:overlay val="0"/>
      <c:spPr>
        <a:noFill/>
        <a:ln>
          <a:noFill/>
        </a:ln>
      </c:spPr>
    </c:title>
    <c:autoTitleDeleted val="0"/>
    <c:view3D>
      <c:rotX val="4"/>
      <c:rotY val="12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25560">
          <a:noFill/>
        </a:ln>
      </c:spPr>
    </c:sideWall>
    <c:backWall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0.0526875"/>
          <c:y val="0.196555555555556"/>
          <c:w val="0.89625"/>
          <c:h val="0.678555555555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61</c:v>
                </c:pt>
                <c:pt idx="1">
                  <c:v>18</c:v>
                </c:pt>
                <c:pt idx="2">
                  <c:v>16</c:v>
                </c:pt>
              </c:numCache>
            </c:numRef>
          </c:val>
        </c:ser>
        <c:gapWidth val="150"/>
        <c:shape val="box"/>
        <c:axId val="43295212"/>
        <c:axId val="10237391"/>
        <c:axId val="0"/>
      </c:bar3DChart>
      <c:catAx>
        <c:axId val="43295212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1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0237391"/>
        <c:crosses val="autoZero"/>
        <c:auto val="1"/>
        <c:lblAlgn val="ctr"/>
        <c:lblOffset val="100"/>
        <c:noMultiLvlLbl val="0"/>
      </c:catAx>
      <c:valAx>
        <c:axId val="10237391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3295212"/>
        <c:crosses val="autoZero"/>
        <c:crossBetween val="between"/>
      </c:valAx>
    </c:plotArea>
    <c:plotVisOnly val="1"/>
    <c:dispBlanksAs val="gap"/>
  </c:chart>
  <c:spPr>
    <a:noFill/>
    <a:ln w="9360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плановых и внеплановых контрольных (надзорных)
                             мероприятий в области ГО</a:t>
            </a:r>
          </a:p>
        </c:rich>
      </c:tx>
      <c:layout>
        <c:manualLayout>
          <c:xMode val="edge"/>
          <c:yMode val="edge"/>
          <c:x val="0.109875"/>
          <c:y val="0"/>
        </c:manualLayout>
      </c:layout>
      <c:overlay val="0"/>
      <c:spPr>
        <a:noFill/>
        <a:ln>
          <a:noFill/>
        </a:ln>
      </c:spPr>
    </c:title>
    <c:autoTitleDeleted val="0"/>
    <c:view3D>
      <c:rotX val="8"/>
      <c:rotY val="15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395"/>
          <c:y val="0.156"/>
          <c:w val="0.8026875"/>
          <c:h val="0.722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КНМ</c:v>
                </c:pt>
                <c:pt idx="1">
                  <c:v>Плановые КНМ</c:v>
                </c:pt>
                <c:pt idx="2">
                  <c:v>Внеплановые КНМ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119</c:v>
                </c:pt>
                <c:pt idx="1">
                  <c:v>59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dLbl>
              <c:idx val="0"/>
              <c:numFmt formatCode="General" sourceLinked="1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1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1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КНМ</c:v>
                </c:pt>
                <c:pt idx="1">
                  <c:v>Плановые КНМ</c:v>
                </c:pt>
                <c:pt idx="2">
                  <c:v>Внеплановые КНМ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22</c:v>
                </c:pt>
                <c:pt idx="1">
                  <c:v>18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КНМ</c:v>
                </c:pt>
                <c:pt idx="1">
                  <c:v>Плановые КНМ</c:v>
                </c:pt>
                <c:pt idx="2">
                  <c:v>Внеплановые КНМ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17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gapWidth val="150"/>
        <c:shape val="box"/>
        <c:axId val="95609569"/>
        <c:axId val="90041619"/>
        <c:axId val="0"/>
      </c:bar3DChart>
      <c:catAx>
        <c:axId val="95609569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8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0041619"/>
        <c:crosses val="autoZero"/>
        <c:auto val="1"/>
        <c:lblAlgn val="ctr"/>
        <c:lblOffset val="100"/>
        <c:noMultiLvlLbl val="0"/>
      </c:catAx>
      <c:valAx>
        <c:axId val="90041619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5609569"/>
        <c:crossesAt val="1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852375"/>
          <c:y val="0.211333333333333"/>
          <c:w val="0.145946621663854"/>
          <c:h val="0.563951550172241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выданных предписаний в области ГО</a:t>
            </a:r>
          </a:p>
        </c:rich>
      </c:tx>
      <c:layout>
        <c:manualLayout>
          <c:xMode val="edge"/>
          <c:yMode val="edge"/>
          <c:x val="0.198875"/>
          <c:y val="0.00455555555555556"/>
        </c:manualLayout>
      </c:layout>
      <c:overlay val="0"/>
      <c:spPr>
        <a:noFill/>
        <a:ln>
          <a:noFill/>
        </a:ln>
      </c:spPr>
    </c:title>
    <c:autoTitleDeleted val="0"/>
    <c:view3D>
      <c:rotX val="2"/>
      <c:rotY val="6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24375"/>
          <c:y val="0.183666666666667"/>
          <c:w val="0.744875"/>
          <c:h val="0.654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Общее количество предписаний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Общее количество предписаний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Общее количество предписаний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gapWidth val="150"/>
        <c:shape val="box"/>
        <c:axId val="82964592"/>
        <c:axId val="17088045"/>
        <c:axId val="0"/>
      </c:bar3DChart>
      <c:catAx>
        <c:axId val="82964592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7088045"/>
        <c:crosses val="autoZero"/>
        <c:auto val="1"/>
        <c:lblAlgn val="ctr"/>
        <c:lblOffset val="100"/>
        <c:noMultiLvlLbl val="0"/>
      </c:catAx>
      <c:valAx>
        <c:axId val="1708804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82964592"/>
        <c:crossesAt val="1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832"/>
          <c:y val="0.0804444444444444"/>
          <c:w val="0.145259078692418"/>
          <c:h val="0.854428269807756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предложенных мероприятий в области ГО</a:t>
            </a:r>
          </a:p>
        </c:rich>
      </c:tx>
      <c:layout>
        <c:manualLayout>
          <c:xMode val="edge"/>
          <c:yMode val="edge"/>
          <c:x val="0.1959375"/>
          <c:y val="0"/>
        </c:manualLayout>
      </c:layout>
      <c:overlay val="0"/>
      <c:spPr>
        <a:noFill/>
        <a:ln>
          <a:noFill/>
        </a:ln>
      </c:spPr>
    </c:title>
    <c:autoTitleDeleted val="0"/>
    <c:view3D>
      <c:rotX val="4"/>
      <c:rotY val="8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1875"/>
          <c:y val="0.186444444444444"/>
          <c:w val="0.7339375"/>
          <c:h val="0.6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Общее количество мероприятий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1245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Общее количество мероприятий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Общее количество мероприятий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gapWidth val="150"/>
        <c:shape val="box"/>
        <c:axId val="81992292"/>
        <c:axId val="45780223"/>
        <c:axId val="0"/>
      </c:bar3DChart>
      <c:catAx>
        <c:axId val="81992292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5780223"/>
        <c:crosses val="autoZero"/>
        <c:auto val="1"/>
        <c:lblAlgn val="ctr"/>
        <c:lblOffset val="100"/>
        <c:noMultiLvlLbl val="0"/>
      </c:catAx>
      <c:valAx>
        <c:axId val="4578022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81992292"/>
        <c:crossesAt val="1"/>
        <c:crossBetween val="between"/>
        <c:majorUnit val="50"/>
      </c:valAx>
    </c:plotArea>
    <c:legend>
      <c:legendPos val="r"/>
      <c:layout>
        <c:manualLayout>
          <c:xMode val="edge"/>
          <c:yMode val="edge"/>
          <c:x val="0.834875"/>
          <c:y val="0.185"/>
          <c:w val="0.14288393024564"/>
          <c:h val="0.696744082675853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составленных протоколов в области ГО</a:t>
            </a:r>
          </a:p>
        </c:rich>
      </c:tx>
      <c:layout>
        <c:manualLayout>
          <c:xMode val="edge"/>
          <c:yMode val="edge"/>
          <c:x val="0.199625"/>
          <c:y val="0.0404444444444444"/>
        </c:manualLayout>
      </c:layout>
      <c:overlay val="0"/>
      <c:spPr>
        <a:noFill/>
        <a:ln>
          <a:noFill/>
        </a:ln>
      </c:spPr>
    </c:title>
    <c:autoTitleDeleted val="0"/>
    <c:view3D>
      <c:rotX val="6"/>
      <c:rotY val="9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875"/>
          <c:y val="0.161777777777778"/>
          <c:w val="0.772875"/>
          <c:h val="0.629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89</c:v>
                </c:pt>
                <c:pt idx="1">
                  <c:v>11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</c:ser>
        <c:gapWidth val="150"/>
        <c:shape val="box"/>
        <c:axId val="40265580"/>
        <c:axId val="63922167"/>
        <c:axId val="0"/>
      </c:bar3DChart>
      <c:catAx>
        <c:axId val="40265580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3922167"/>
        <c:crosses val="autoZero"/>
        <c:auto val="1"/>
        <c:lblAlgn val="ctr"/>
        <c:lblOffset val="100"/>
        <c:noMultiLvlLbl val="0"/>
      </c:catAx>
      <c:valAx>
        <c:axId val="63922167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0265580"/>
        <c:crossesAt val="1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8421875"/>
          <c:y val="0.161777777777778"/>
          <c:w val="0.156072254515907"/>
          <c:h val="0.674408267585287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Решения по рассмотрению административных протоколов</a:t>
            </a:r>
          </a:p>
        </c:rich>
      </c:tx>
      <c:layout>
        <c:manualLayout>
          <c:xMode val="edge"/>
          <c:yMode val="edge"/>
          <c:x val="0.113375"/>
          <c:y val="0.00922222222222222"/>
        </c:manualLayout>
      </c:layout>
      <c:overlay val="0"/>
      <c:spPr>
        <a:noFill/>
        <a:ln>
          <a:noFill/>
        </a:ln>
      </c:spPr>
    </c:title>
    <c:autoTitleDeleted val="0"/>
    <c:view3D>
      <c:rotX val="1"/>
      <c:rotY val="6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9"/>
          <c:y val="0.172333333333333"/>
          <c:w val="0.9015625"/>
          <c:h val="0.7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1"/>
              <c:txPr>
                <a:bodyPr/>
                <a:lstStyle/>
                <a:p>
                  <a:pPr>
                    <a:defRPr b="1" sz="943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943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943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943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gapWidth val="150"/>
        <c:shape val="box"/>
        <c:axId val="15494191"/>
        <c:axId val="52757121"/>
        <c:axId val="0"/>
      </c:bar3DChart>
      <c:catAx>
        <c:axId val="15494191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2757121"/>
        <c:crosses val="autoZero"/>
        <c:auto val="1"/>
        <c:lblAlgn val="ctr"/>
        <c:lblOffset val="100"/>
        <c:noMultiLvlLbl val="0"/>
      </c:catAx>
      <c:valAx>
        <c:axId val="52757121"/>
        <c:scaling>
          <c:orientation val="minMax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5494191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"/>
          <c:y val="0.882888888888889"/>
          <c:w val="1"/>
          <c:h val="0.10023335926214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1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LibreOffice_project/72d9d5113b23a0ed474720f9d366fcde9a2744dd</Application>
  <Pages>4</Pages>
  <Words>656</Words>
  <Characters>4894</Characters>
  <CharactersWithSpaces>5548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2024-01-17T15:44:44Z</dcterms:modified>
  <cp:revision>2</cp:revision>
  <dc:subject/>
  <dc:title/>
</cp:coreProperties>
</file>