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_rels/chart3.xml.rels" ContentType="application/vnd.openxmlformats-package.relationships+xml"/>
  <Override PartName="/word/charts/_rels/chart4.xml.rels" ContentType="application/vnd.openxmlformats-package.relationships+xml"/>
  <Override PartName="/word/charts/_rels/chart5.xml.rels" ContentType="application/vnd.openxmlformats-package.relationships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firstLine="426"/>
        <w:jc w:val="center"/>
        <w:rPr/>
      </w:pPr>
      <w:r>
        <w:rPr>
          <w:b/>
          <w:bCs/>
          <w:iCs/>
          <w:sz w:val="28"/>
          <w:szCs w:val="30"/>
        </w:rPr>
        <w:t xml:space="preserve">Исполнение федерального государственного надзора в области </w:t>
      </w:r>
      <w:r>
        <w:rPr>
          <w:b/>
          <w:bCs/>
          <w:sz w:val="28"/>
          <w:szCs w:val="28"/>
        </w:rPr>
        <w:t>защиты населения и территорий от чрезвычайных ситуаций</w:t>
      </w:r>
    </w:p>
    <w:p>
      <w:pPr>
        <w:pStyle w:val="Style19"/>
        <w:spacing w:before="0" w:after="0"/>
        <w:ind w:left="0" w:right="0" w:firstLine="426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На территории Челябинской области взято на учёт </w:t>
      </w:r>
      <w:r>
        <w:rPr>
          <w:b/>
          <w:color w:val="000000"/>
          <w:sz w:val="28"/>
          <w:szCs w:val="28"/>
        </w:rPr>
        <w:t>2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80</w:t>
      </w:r>
      <w:r>
        <w:rPr>
          <w:color w:val="000000"/>
          <w:sz w:val="28"/>
          <w:szCs w:val="28"/>
        </w:rPr>
        <w:t xml:space="preserve"> объектов, подлежащих федеральному государственному надзору в области защиты населения и территорий от чрезвычайных ситуаций, из них: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– территориальных орган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 w:val="28"/>
          <w:szCs w:val="28"/>
        </w:rPr>
        <w:t xml:space="preserve"> федеральных органов исполнительной власти, входящих в состав функциональных подсистем единой государственной системы предупреждения и ликвидации чрезвычайных ситуаций;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– органов исполнительной власти Челябинской области;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219</w:t>
      </w:r>
      <w:r>
        <w:rPr>
          <w:color w:val="000000"/>
          <w:sz w:val="28"/>
          <w:szCs w:val="28"/>
        </w:rPr>
        <w:t xml:space="preserve"> – организаций, отнесённые к категории высокого, значительного и среднего риска, из них: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9</w:t>
      </w:r>
      <w:r>
        <w:rPr>
          <w:color w:val="000000"/>
          <w:sz w:val="28"/>
          <w:szCs w:val="28"/>
        </w:rPr>
        <w:t xml:space="preserve"> – входящих в установленном порядке в состав сил функциональных подсистем единой государственной системы предупреждения и ликвидации чрезвычайных ситуаций;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16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6</w:t>
      </w:r>
      <w:r>
        <w:rPr>
          <w:color w:val="000000"/>
          <w:sz w:val="28"/>
          <w:szCs w:val="28"/>
        </w:rPr>
        <w:t xml:space="preserve"> – эксплуатирующие потенциально опасные объекты;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– эксплуатирующие критически важные объекты.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требований Постановления Правительства Российской Федерации от 25 июня 2021 года № 1013 объекты федерального государственного надзора в области защиты населения и территорий от чрезвычайных ситуаций отнесены к соответствующим категориям риска, из них: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41</w:t>
      </w:r>
      <w:r>
        <w:rPr>
          <w:color w:val="000000"/>
          <w:sz w:val="28"/>
          <w:szCs w:val="28"/>
        </w:rPr>
        <w:t xml:space="preserve"> юридическ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ое</w:t>
      </w:r>
      <w:r>
        <w:rPr>
          <w:color w:val="000000"/>
          <w:sz w:val="28"/>
          <w:szCs w:val="28"/>
        </w:rPr>
        <w:t xml:space="preserve"> лицо, эксплуатирующ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ее</w:t>
      </w:r>
      <w:r>
        <w:rPr>
          <w:color w:val="000000"/>
          <w:sz w:val="28"/>
          <w:szCs w:val="28"/>
        </w:rPr>
        <w:t xml:space="preserve"> потенциально опасные объекты 1 и 2 категории опасности, эксплуатирующих критически важные объекты федерального уровня значимости, деятельность государственных корпораций, создающих в установленном порядке функциональные подсистемы единой государственной системы предупреждения и ликвидации чрезвычайных ситуаций отнесены к категории высокого риска;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юридических лица, эксплуатирующих потенциально опасные объекты 3 и 4 категории опасности, эксплуатирующих критически важные объекты регионального уровня значимости, организации, если эти организации (их структурные подразделения) или находящиеся в их ведении организации и структурные подразделения этих организаций включены (входят) в   установленном порядке в состав сил органов функциональных подсистем единой государственной системы предупреждения и ликвидации чрезвычайных ситуаций, отнесены к категории значительного риска;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144</w:t>
      </w:r>
      <w:r>
        <w:rPr>
          <w:color w:val="000000"/>
          <w:sz w:val="28"/>
          <w:szCs w:val="28"/>
        </w:rPr>
        <w:t xml:space="preserve"> юридических лица, эксплуатирующих потенциально опасные объекты 5 и 6 категории опасности и эксплуатирующих критически важные объекты муниципального уровня значимости, отнесены к категории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среднего</w:t>
      </w:r>
      <w:r>
        <w:rPr>
          <w:color w:val="000000"/>
          <w:sz w:val="28"/>
          <w:szCs w:val="28"/>
        </w:rPr>
        <w:t xml:space="preserve"> риска;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юридических лица, отнесены к категории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низкого</w:t>
      </w:r>
      <w:r>
        <w:rPr>
          <w:color w:val="000000"/>
          <w:sz w:val="28"/>
          <w:szCs w:val="28"/>
        </w:rPr>
        <w:t xml:space="preserve"> риска;</w:t>
      </w:r>
    </w:p>
    <w:p>
      <w:pPr>
        <w:pStyle w:val="Normal"/>
        <w:widowControl/>
        <w:tabs>
          <w:tab w:val="clear" w:pos="709"/>
          <w:tab w:val="left" w:pos="4395" w:leader="none"/>
        </w:tabs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>Планирование мероприятий по проведению надзоров (контроля) в области ЧС осуществляется в установленном порядке с учётом полного охвата всех контролируемых объектов и установленной законодательством Российской Федерации периодичности проведения проверок.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В связи с изменением предмета федерального государственного надзора в области защиты населения территорий от чрезвычайных ситуаций, утвержденного постановлением Правительства Российской Федерации от 25 июня 2021 года № 1013, проведение  проверок  в отношении ОИВ, ТОФОИВ в 2022 году не планировалось.</w:t>
      </w:r>
    </w:p>
    <w:p>
      <w:pPr>
        <w:pStyle w:val="Normal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Постановлением Правительства Российской Федерации от 30 июня 2022 года № 1086, определен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ситуаций. </w:t>
      </w:r>
    </w:p>
    <w:p>
      <w:pPr>
        <w:pStyle w:val="Normal"/>
        <w:widowControl/>
        <w:tabs>
          <w:tab w:val="clear" w:pos="709"/>
          <w:tab w:val="left" w:pos="4395" w:leader="none"/>
        </w:tabs>
        <w:suppressAutoHyphens w:val="true"/>
        <w:bidi w:val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Порядок организации и осуществления государственного контроля (надзора) в 2022 году регламентирован постановлением Правительства Российской Федерации от 10 марта 2022 года № 336, которым установлен ряд ограничений при осуществлении государственного контроля (надзора). 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План проведения плановых проверок на 2022 год в области ЧС содерж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ал</w:t>
      </w:r>
      <w:r>
        <w:rPr>
          <w:color w:val="C9211E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38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проверок,</w:t>
      </w:r>
      <w:r>
        <w:rPr>
          <w:sz w:val="28"/>
          <w:szCs w:val="28"/>
        </w:rPr>
        <w:t xml:space="preserve"> в отношении  организаций, отнесённых к категориям высокого, значительного и среднего риска.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</w:t>
        <w:br/>
        <w:t xml:space="preserve">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>10 марта 2022 года № 336</w:t>
      </w:r>
      <w:r>
        <w:rPr>
          <w:color w:val="000000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из плана проверок исключены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28</w:t>
      </w:r>
      <w:r>
        <w:rPr>
          <w:color w:val="000000"/>
          <w:sz w:val="28"/>
          <w:szCs w:val="28"/>
        </w:rPr>
        <w:t xml:space="preserve"> планов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ых</w:t>
      </w:r>
      <w:r>
        <w:rPr>
          <w:color w:val="000000"/>
          <w:sz w:val="28"/>
          <w:szCs w:val="28"/>
        </w:rPr>
        <w:t xml:space="preserve"> проверок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.</w:t>
      </w:r>
    </w:p>
    <w:p>
      <w:pPr>
        <w:pStyle w:val="Normal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487670" cy="1995805"/>
            <wp:effectExtent l="0" t="0" r="0" b="0"/>
            <wp:docPr id="1" name="Объект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  <w:r>
        <w:rPr>
          <w:highlight w:val="yellow"/>
        </w:rPr>
        <w:t xml:space="preserve">      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   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состоянию на 3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1</w:t>
      </w:r>
      <w:r>
        <w:rPr>
          <w:color w:val="000000"/>
          <w:sz w:val="28"/>
        </w:rPr>
        <w:t xml:space="preserve"> декабря 2022 года проведено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12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провер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ок</w:t>
      </w:r>
      <w:r>
        <w:rPr>
          <w:color w:val="000000"/>
          <w:sz w:val="28"/>
        </w:rPr>
        <w:t xml:space="preserve">, из них: </w:t>
      </w:r>
    </w:p>
    <w:p>
      <w:pPr>
        <w:pStyle w:val="Normal"/>
        <w:ind w:left="0" w:right="0" w:firstLine="567"/>
        <w:jc w:val="both"/>
        <w:rPr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10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плановых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2</w:t>
      </w:r>
      <w:r>
        <w:rPr>
          <w:sz w:val="28"/>
        </w:rPr>
        <w:t xml:space="preserve"> </w:t>
      </w:r>
      <w:r>
        <w:rPr>
          <w:b/>
          <w:bCs/>
          <w:sz w:val="28"/>
        </w:rPr>
        <w:t>внеплановых</w:t>
      </w:r>
      <w:r>
        <w:rPr>
          <w:color w:val="000000"/>
          <w:sz w:val="28"/>
        </w:rPr>
        <w:t xml:space="preserve"> </w:t>
      </w:r>
    </w:p>
    <w:p>
      <w:pPr>
        <w:pStyle w:val="BodyText3"/>
        <w:tabs>
          <w:tab w:val="clear" w:pos="709"/>
          <w:tab w:val="left" w:pos="4678" w:leader="none"/>
        </w:tabs>
        <w:ind w:left="0" w:right="-8" w:hanging="0"/>
        <w:jc w:val="center"/>
        <w:rPr/>
      </w:pPr>
      <w:r>
        <w:rPr/>
        <w:drawing>
          <wp:inline distT="0" distB="0" distL="0" distR="0">
            <wp:extent cx="5431790" cy="2739390"/>
            <wp:effectExtent l="0" t="0" r="0" b="0"/>
            <wp:docPr id="2" name="Объект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BodyText3"/>
        <w:ind w:left="0" w:right="0" w:firstLine="567"/>
        <w:rPr/>
      </w:pPr>
      <w:r>
        <w:rPr>
          <w:color w:val="000000"/>
        </w:rPr>
        <w:t xml:space="preserve">По результатам проверок выдано 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4</w:t>
      </w:r>
      <w:r>
        <w:rPr>
          <w:b/>
          <w:bCs/>
          <w:color w:val="000000"/>
        </w:rPr>
        <w:t xml:space="preserve"> предписани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я</w:t>
      </w:r>
      <w:r>
        <w:rPr>
          <w:color w:val="000000"/>
        </w:rPr>
        <w:t>.</w:t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rPr>
          <w:highlight w:val="yellow"/>
        </w:rPr>
      </w:pPr>
      <w:r>
        <w:rPr>
          <w:highlight w:val="yellow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473710</wp:posOffset>
            </wp:positionH>
            <wp:positionV relativeFrom="paragraph">
              <wp:posOffset>59055</wp:posOffset>
            </wp:positionV>
            <wp:extent cx="5490845" cy="2131695"/>
            <wp:effectExtent l="0" t="0" r="0" b="0"/>
            <wp:wrapSquare wrapText="largest"/>
            <wp:docPr id="3" name="Объект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>
          <w:color w:val="000000"/>
          <w:szCs w:val="28"/>
        </w:rPr>
        <w:t xml:space="preserve">В выданных предписаниях к исполнению предложено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6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мероприяти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й.</w:t>
      </w:r>
      <w:r>
        <w:rPr>
          <w:color w:val="000000"/>
          <w:szCs w:val="28"/>
        </w:rPr>
        <w:t xml:space="preserve"> Выполнено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2 </w:t>
      </w:r>
      <w:r>
        <w:rPr>
          <w:b/>
          <w:bCs/>
          <w:color w:val="000000"/>
          <w:szCs w:val="28"/>
        </w:rPr>
        <w:t>мероприяти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я</w:t>
      </w:r>
      <w:r>
        <w:rPr>
          <w:color w:val="000000"/>
          <w:szCs w:val="28"/>
        </w:rPr>
        <w:t xml:space="preserve">, что составляет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50 </w:t>
      </w:r>
      <w:r>
        <w:rPr>
          <w:color w:val="000000"/>
          <w:szCs w:val="28"/>
        </w:rPr>
        <w:t>% от общего количества предложенных мероприятий к устранению, срок устранения которых истёк.</w:t>
      </w:r>
    </w:p>
    <w:p>
      <w:pPr>
        <w:pStyle w:val="Normal"/>
        <w:tabs>
          <w:tab w:val="clear" w:pos="709"/>
          <w:tab w:val="left" w:pos="4536" w:leader="none"/>
        </w:tabs>
        <w:ind w:left="0" w:right="-8" w:hanging="0"/>
        <w:jc w:val="center"/>
        <w:rPr/>
      </w:pPr>
      <w:r>
        <w:rPr/>
        <w:drawing>
          <wp:inline distT="0" distB="0" distL="0" distR="0">
            <wp:extent cx="5695315" cy="1993265"/>
            <wp:effectExtent l="0" t="0" r="0" b="0"/>
            <wp:docPr id="4" name="Объект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widowControl/>
        <w:tabs>
          <w:tab w:val="clear" w:pos="709"/>
          <w:tab w:val="left" w:pos="4536" w:leader="none"/>
        </w:tabs>
        <w:suppressAutoHyphens w:val="true"/>
        <w:bidi w:val="0"/>
        <w:ind w:left="0" w:right="0" w:firstLine="567"/>
        <w:jc w:val="both"/>
        <w:rPr>
          <w:sz w:val="28"/>
        </w:rPr>
      </w:pPr>
      <w:r>
        <w:rPr/>
      </w:r>
    </w:p>
    <w:p>
      <w:pPr>
        <w:pStyle w:val="BodyText3"/>
        <w:widowControl/>
        <w:suppressAutoHyphens w:val="true"/>
        <w:bidi w:val="0"/>
        <w:ind w:left="0" w:right="0" w:firstLine="567"/>
        <w:jc w:val="both"/>
        <w:rPr/>
      </w:pPr>
      <w:r>
        <w:rPr>
          <w:color w:val="000000"/>
          <w:szCs w:val="28"/>
        </w:rPr>
        <w:t xml:space="preserve">За выявленные нарушения в области защиты населения и территорий от ЧС составлено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5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протоколов об административных правонарушениях</w:t>
      </w:r>
      <w:r>
        <w:rPr>
          <w:color w:val="000000"/>
          <w:szCs w:val="28"/>
        </w:rPr>
        <w:t>.</w:t>
      </w:r>
    </w:p>
    <w:p>
      <w:pPr>
        <w:pStyle w:val="BodyText3"/>
        <w:ind w:left="0" w:righ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Протоколы об административных правонарушениях были составлены: </w:t>
      </w:r>
    </w:p>
    <w:p>
      <w:pPr>
        <w:pStyle w:val="BodyText3"/>
        <w:ind w:left="0" w:right="0" w:firstLine="567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2</w:t>
      </w:r>
      <w:r>
        <w:rPr>
          <w:b/>
          <w:bCs/>
          <w:color w:val="000000"/>
          <w:szCs w:val="28"/>
        </w:rPr>
        <w:t xml:space="preserve"> протокол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Cs w:val="28"/>
        </w:rPr>
        <w:t xml:space="preserve"> на должностных лиц</w:t>
      </w:r>
    </w:p>
    <w:p>
      <w:pPr>
        <w:pStyle w:val="BodyText3"/>
        <w:ind w:left="0" w:right="0" w:firstLine="567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3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протокол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Cs w:val="28"/>
        </w:rPr>
        <w:t xml:space="preserve"> на юридических лиц</w:t>
      </w:r>
    </w:p>
    <w:p>
      <w:pPr>
        <w:pStyle w:val="BodyText3"/>
        <w:ind w:left="0" w:right="-8" w:hanging="0"/>
        <w:jc w:val="center"/>
        <w:rPr/>
      </w:pPr>
      <w:r>
        <w:rPr/>
        <w:drawing>
          <wp:inline distT="0" distB="0" distL="0" distR="0">
            <wp:extent cx="5964555" cy="2345690"/>
            <wp:effectExtent l="0" t="0" r="0" b="0"/>
            <wp:docPr id="5" name="Объект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widowControl/>
        <w:suppressAutoHyphens w:val="true"/>
        <w:bidi w:val="0"/>
        <w:ind w:left="0" w:right="0" w:firstLine="624"/>
        <w:jc w:val="both"/>
        <w:rPr/>
      </w:pPr>
      <w:r>
        <w:rPr>
          <w:color w:val="000000"/>
          <w:sz w:val="28"/>
          <w:szCs w:val="28"/>
        </w:rPr>
        <w:t>Все составленные протоколы были приняты для рассмотрения мировыми судами. По результатам рассмотрения протоколов приняты решения о назначении наказании в виде административного штрафа.</w:t>
      </w:r>
    </w:p>
    <w:p>
      <w:pPr>
        <w:pStyle w:val="Normal"/>
        <w:widowControl/>
        <w:suppressAutoHyphens w:val="true"/>
        <w:bidi w:val="0"/>
        <w:ind w:left="0" w:right="0" w:firstLine="709"/>
        <w:jc w:val="both"/>
        <w:rPr>
          <w:color w:val="000000"/>
          <w:sz w:val="28"/>
          <w:szCs w:val="28"/>
        </w:rPr>
      </w:pPr>
      <w:r>
        <w:rPr/>
      </w:r>
    </w:p>
    <w:p>
      <w:pPr>
        <w:pStyle w:val="BodyText3"/>
        <w:ind w:left="0" w:right="-8" w:firstLine="567"/>
        <w:rPr/>
      </w:pPr>
      <w:r>
        <w:rPr>
          <w:color w:val="000000"/>
        </w:rPr>
        <w:t xml:space="preserve">За </w:t>
      </w:r>
      <w:r>
        <w:rPr>
          <w:color w:val="000000"/>
          <w:szCs w:val="28"/>
        </w:rPr>
        <w:t xml:space="preserve">2022 год </w:t>
      </w:r>
      <w:r>
        <w:rPr>
          <w:color w:val="000000"/>
        </w:rPr>
        <w:t>должностными лицами управления были организованы и проведены следующие мероприятия, направленные на профилактику нарушений обязательных требований в области защиты населения и территорий от чрезвычайных ситуаций: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 xml:space="preserve">проведено профилактических визитов, в отношении объектов надзора высокого и значительного риска </w:t>
      </w:r>
      <w:r>
        <w:rPr>
          <w:color w:val="000000"/>
          <w:szCs w:val="28"/>
        </w:rPr>
        <w:t xml:space="preserve">– </w:t>
      </w:r>
      <w:r>
        <w:rPr>
          <w:b/>
          <w:bCs/>
          <w:color w:val="000000"/>
          <w:szCs w:val="28"/>
        </w:rPr>
        <w:t>6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2</w:t>
      </w:r>
      <w:r>
        <w:rPr>
          <w:color w:val="000000"/>
          <w:szCs w:val="28"/>
        </w:rPr>
        <w:t>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проведено консультаций, инструктажей, по разъяснению обязательных требований –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234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ед.;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проведено семинаров, вебинаров, конференций, заседаний рабочих групп по разъяснению обязательных требований –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5</w:t>
      </w:r>
      <w:r>
        <w:rPr>
          <w:color w:val="000000"/>
          <w:szCs w:val="28"/>
        </w:rPr>
        <w:t xml:space="preserve"> ед.;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обеспечено </w:t>
      </w:r>
      <w:r>
        <w:rPr>
          <w:color w:val="000000"/>
        </w:rPr>
        <w:t xml:space="preserve">обобщение практики осуществления федерального государственного надзора и размещение на официальных сайтах в информационно–телекоммуникационной сети «Интернет» соответствующих обобщений – 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2</w:t>
      </w:r>
      <w:r>
        <w:rPr>
          <w:color w:val="000000"/>
        </w:rPr>
        <w:t>;</w:t>
      </w:r>
    </w:p>
    <w:p>
      <w:pPr>
        <w:pStyle w:val="BodyText3"/>
        <w:ind w:left="0" w:right="-8" w:firstLine="567"/>
        <w:rPr/>
      </w:pPr>
      <w:r>
        <w:rPr>
          <w:color w:val="000000"/>
        </w:rPr>
        <w:t xml:space="preserve">– </w:t>
      </w:r>
      <w:r>
        <w:rPr>
          <w:color w:val="000000"/>
        </w:rPr>
        <w:t xml:space="preserve">распространено памяток по действиям населения при возникновении ЧС–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 xml:space="preserve">33765 </w:t>
      </w:r>
      <w:r>
        <w:rPr>
          <w:color w:val="000000"/>
        </w:rPr>
        <w:t>шт.</w:t>
      </w:r>
    </w:p>
    <w:p>
      <w:pPr>
        <w:pStyle w:val="BodyText3"/>
        <w:ind w:left="0" w:right="0" w:firstLine="567"/>
        <w:rPr/>
      </w:pPr>
      <w:r>
        <w:rPr/>
      </w:r>
    </w:p>
    <w:p>
      <w:pPr>
        <w:pStyle w:val="BodyText3"/>
        <w:ind w:left="0" w:right="0" w:firstLine="567"/>
        <w:rPr>
          <w:color w:val="000000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134" w:right="1134" w:header="0" w:top="538" w:footer="0" w:bottom="42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Style15"/>
    <w:pPr>
      <w:ind w:left="0" w:right="0" w:firstLine="210"/>
    </w:pPr>
    <w:rPr/>
  </w:style>
  <w:style w:type="paragraph" w:styleId="BodyText3">
    <w:name w:val="Body Text 3"/>
    <w:basedOn w:val="Normal"/>
    <w:qFormat/>
    <w:pPr>
      <w:jc w:val="both"/>
    </w:pPr>
    <w:rPr>
      <w:color w:val="008000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3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4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6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6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8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Общее количество запланированных плановых проверок</a:t>
            </a:r>
          </a:p>
        </c:rich>
      </c:tx>
      <c:layout>
        <c:manualLayout>
          <c:xMode val="edge"/>
          <c:yMode val="edge"/>
          <c:x val="0.139444845462301"/>
          <c:y val="0.0090269001624842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25560">
          <a:noFill/>
        </a:ln>
      </c:spPr>
    </c:sideWall>
    <c:backWall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0.0724219364996064"/>
          <c:y val="0.155262682794728"/>
          <c:w val="0.87621359223301"/>
          <c:h val="0.6737678281278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1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98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30</c:v>
                </c:pt>
                <c:pt idx="1">
                  <c:v>25</c:v>
                </c:pt>
                <c:pt idx="2">
                  <c:v>38</c:v>
                </c:pt>
              </c:numCache>
            </c:numRef>
          </c:val>
        </c:ser>
        <c:gapWidth val="150"/>
        <c:shape val="box"/>
        <c:axId val="16689087"/>
        <c:axId val="12509448"/>
        <c:axId val="0"/>
      </c:bar3DChart>
      <c:catAx>
        <c:axId val="16689087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1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2509448"/>
        <c:crosses val="autoZero"/>
        <c:auto val="1"/>
        <c:lblAlgn val="ctr"/>
        <c:lblOffset val="100"/>
        <c:noMultiLvlLbl val="0"/>
      </c:catAx>
      <c:valAx>
        <c:axId val="1250944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6689087"/>
        <c:crosses val="autoZero"/>
        <c:crossBetween val="between"/>
      </c:valAx>
    </c:plotArea>
    <c:plotVisOnly val="1"/>
    <c:dispBlanksAs val="gap"/>
  </c:chart>
  <c:spPr>
    <a:noFill/>
    <a:ln w="936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плановых и внеплановых проверок в области ЧС</a:t>
            </a:r>
          </a:p>
        </c:rich>
      </c:tx>
      <c:layout>
        <c:manualLayout>
          <c:xMode val="edge"/>
          <c:yMode val="edge"/>
          <c:x val="0.144988066825776"/>
          <c:y val="0.031163708086785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118099277619458"/>
          <c:y val="0.181471747700394"/>
          <c:w val="0.717211213466764"/>
          <c:h val="0.5424441524310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проверок</c:v>
                </c:pt>
                <c:pt idx="1">
                  <c:v>Плановые проверки </c:v>
                </c:pt>
                <c:pt idx="2">
                  <c:v>Внеплановые проверки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44</c:v>
                </c:pt>
                <c:pt idx="1">
                  <c:v>27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проверок</c:v>
                </c:pt>
                <c:pt idx="1">
                  <c:v>Плановые проверки </c:v>
                </c:pt>
                <c:pt idx="2">
                  <c:v>Внеплановые проверки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40</c:v>
                </c:pt>
                <c:pt idx="1">
                  <c:v>25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5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проверок</c:v>
                </c:pt>
                <c:pt idx="1">
                  <c:v>Плановые проверки </c:v>
                </c:pt>
                <c:pt idx="2">
                  <c:v>Внеплановые проверки 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gapWidth val="150"/>
        <c:shape val="box"/>
        <c:axId val="32611837"/>
        <c:axId val="18664243"/>
        <c:axId val="0"/>
      </c:bar3DChart>
      <c:catAx>
        <c:axId val="32611837"/>
        <c:scaling>
          <c:orientation val="minMax"/>
        </c:scaling>
        <c:delete val="0"/>
        <c:axPos val="b"/>
        <c:numFmt formatCode="[$-419]dd/mm/yyyy" sourceLinked="1"/>
        <c:majorTickMark val="cross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 rot="-600000"/>
          <a:lstStyle/>
          <a:p>
            <a:pPr>
              <a:defRPr b="1" sz="8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8664243"/>
        <c:crosses val="autoZero"/>
        <c:auto val="1"/>
        <c:lblAlgn val="ctr"/>
        <c:lblOffset val="100"/>
        <c:noMultiLvlLbl val="0"/>
      </c:catAx>
      <c:valAx>
        <c:axId val="1866424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2611837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357677778514"/>
          <c:y val="0.185019710906702"/>
          <c:w val="0.171593319194062"/>
          <c:h val="0.63346037587068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выданных предписаний в области ЧС</a:t>
            </a:r>
          </a:p>
        </c:rich>
      </c:tx>
      <c:layout>
        <c:manualLayout>
          <c:xMode val="edge"/>
          <c:yMode val="edge"/>
          <c:x val="0.1648740818468"/>
          <c:y val="0.0290687848571911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19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"/>
          <c:y val="0.181695373184735"/>
          <c:w val="0.979938372779125"/>
          <c:h val="0.6322188449848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gapWidth val="150"/>
        <c:shape val="box"/>
        <c:axId val="94781996"/>
        <c:axId val="96814737"/>
        <c:axId val="0"/>
      </c:bar3DChart>
      <c:catAx>
        <c:axId val="94781996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6814737"/>
        <c:crosses val="autoZero"/>
        <c:auto val="1"/>
        <c:lblAlgn val="ctr"/>
        <c:lblOffset val="100"/>
        <c:noMultiLvlLbl val="0"/>
      </c:catAx>
      <c:valAx>
        <c:axId val="9681473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47819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53259034110098"/>
          <c:w val="0.963676894833464"/>
          <c:h val="0.13933457186286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1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предложенных мероприятий в области ЧС</a:t>
            </a:r>
          </a:p>
        </c:rich>
      </c:tx>
      <c:layout>
        <c:manualLayout>
          <c:xMode val="edge"/>
          <c:yMode val="edge"/>
          <c:x val="0.192716236722307"/>
          <c:y val="0.0392263195950831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18532330446874"/>
          <c:y val="0.195950831525669"/>
          <c:w val="0.826938878705518"/>
          <c:h val="0.6198481561822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gapWidth val="150"/>
        <c:shape val="box"/>
        <c:axId val="24593052"/>
        <c:axId val="69943121"/>
        <c:axId val="0"/>
      </c:bar3DChart>
      <c:catAx>
        <c:axId val="2459305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9943121"/>
        <c:crosses val="autoZero"/>
        <c:auto val="1"/>
        <c:lblAlgn val="ctr"/>
        <c:lblOffset val="100"/>
        <c:noMultiLvlLbl val="0"/>
      </c:catAx>
      <c:valAx>
        <c:axId val="69943121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45930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0331837431262246"/>
          <c:y val="0.816883586406363"/>
          <c:w val="0.919026548672566"/>
          <c:h val="0.170855179895137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1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составленных протоколов в области ЧС</a:t>
            </a:r>
          </a:p>
        </c:rich>
      </c:tx>
      <c:layout>
        <c:manualLayout>
          <c:xMode val="edge"/>
          <c:yMode val="edge"/>
          <c:x val="0.205204056991065"/>
          <c:y val="0.0301029027799109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374796306355242"/>
          <c:y val="0.152511135002304"/>
          <c:w val="0.762810066992576"/>
          <c:h val="0.647980340961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gapWidth val="150"/>
        <c:shape val="box"/>
        <c:axId val="80094729"/>
        <c:axId val="91449888"/>
        <c:axId val="0"/>
      </c:bar3DChart>
      <c:catAx>
        <c:axId val="8009472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1449888"/>
        <c:crosses val="autoZero"/>
        <c:auto val="1"/>
        <c:lblAlgn val="ctr"/>
        <c:lblOffset val="100"/>
        <c:noMultiLvlLbl val="0"/>
      </c:catAx>
      <c:valAx>
        <c:axId val="9144988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009472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458205081779"/>
          <c:y val="0.243280602058056"/>
          <c:w val="0.160429744084983"/>
          <c:h val="0.549155145929339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LibreOffice/6.4.7.2$Linux_X86_64 LibreOffice_project/72d9d5113b23a0ed474720f9d366fcde9a2744dd</Application>
  <Pages>3</Pages>
  <Words>649</Words>
  <Characters>4781</Characters>
  <CharactersWithSpaces>5433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2024-01-17T14:57:37Z</dcterms:modified>
  <cp:revision>1</cp:revision>
  <dc:subject/>
  <dc:title/>
</cp:coreProperties>
</file>